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D6" w:rsidRPr="00EB68D6" w:rsidRDefault="00EB68D6" w:rsidP="00EB68D6">
      <w:pPr>
        <w:jc w:val="both"/>
        <w:rPr>
          <w:rFonts w:ascii="Comic Sans MS" w:hAnsi="Comic Sans MS"/>
        </w:rPr>
      </w:pPr>
      <w:r w:rsidRPr="00EB68D6">
        <w:rPr>
          <w:rFonts w:ascii="Comic Sans MS" w:hAnsi="Comic Sans MS"/>
        </w:rPr>
        <w:t xml:space="preserve">Les </w:t>
      </w:r>
      <w:r w:rsidRPr="00EB68D6">
        <w:rPr>
          <w:rFonts w:ascii="Comic Sans MS" w:hAnsi="Comic Sans MS"/>
        </w:rPr>
        <w:t>conférences en détail 2006-2007</w:t>
      </w:r>
    </w:p>
    <w:p w:rsidR="00EB68D6" w:rsidRDefault="00EB68D6" w:rsidP="00EB68D6">
      <w:pPr>
        <w:jc w:val="both"/>
        <w:rPr>
          <w:rFonts w:ascii="Comic Sans MS" w:hAnsi="Comic Sans MS"/>
        </w:rPr>
      </w:pPr>
    </w:p>
    <w:p w:rsidR="00EB68D6" w:rsidRPr="00EB68D6" w:rsidRDefault="00EB68D6" w:rsidP="00EB68D6">
      <w:pPr>
        <w:jc w:val="both"/>
        <w:rPr>
          <w:rFonts w:ascii="Comic Sans MS" w:hAnsi="Comic Sans MS"/>
        </w:rPr>
      </w:pPr>
      <w:r w:rsidRPr="00EB68D6">
        <w:rPr>
          <w:rFonts w:ascii="Comic Sans MS" w:hAnsi="Comic Sans MS"/>
          <w:b/>
          <w:sz w:val="28"/>
          <w:szCs w:val="28"/>
        </w:rPr>
        <w:t>Pierre MAGNARD</w:t>
      </w:r>
      <w:r>
        <w:rPr>
          <w:rFonts w:ascii="Comic Sans MS" w:hAnsi="Comic Sans MS"/>
        </w:rPr>
        <w:t xml:space="preserve"> Les origines humanistes de l’identité européenne</w:t>
      </w:r>
    </w:p>
    <w:p w:rsidR="00EB68D6" w:rsidRDefault="00EB68D6" w:rsidP="00EB68D6">
      <w:pPr>
        <w:jc w:val="both"/>
        <w:rPr>
          <w:rFonts w:ascii="Comic Sans MS" w:hAnsi="Comic Sans MS"/>
        </w:rPr>
      </w:pPr>
      <w:r w:rsidRPr="00EB68D6">
        <w:rPr>
          <w:rFonts w:ascii="Comic Sans MS" w:hAnsi="Comic Sans MS"/>
        </w:rPr>
        <w:t xml:space="preserve">Pierre MAGNARD, professeur émérite à la Sorbonne, poursuit ses recherches sur l’époque fondatrice de l’humanisme que fut la Renaissance des 15ème et 16ème siècles. </w:t>
      </w:r>
    </w:p>
    <w:p w:rsidR="00EB68D6" w:rsidRDefault="00EB68D6" w:rsidP="00EB68D6">
      <w:pPr>
        <w:jc w:val="both"/>
        <w:rPr>
          <w:rFonts w:ascii="Comic Sans MS" w:hAnsi="Comic Sans MS"/>
        </w:rPr>
      </w:pPr>
      <w:r w:rsidRPr="00EB68D6">
        <w:rPr>
          <w:rFonts w:ascii="Comic Sans MS" w:hAnsi="Comic Sans MS"/>
        </w:rPr>
        <w:t xml:space="preserve">A ce titre il a publié, après nombre d’études spécialisées, </w:t>
      </w:r>
    </w:p>
    <w:p w:rsidR="00EB68D6" w:rsidRPr="00EB68D6" w:rsidRDefault="00EB68D6" w:rsidP="00EB68D6">
      <w:pPr>
        <w:pStyle w:val="Paragraphedeliste"/>
        <w:numPr>
          <w:ilvl w:val="0"/>
          <w:numId w:val="2"/>
        </w:numPr>
        <w:jc w:val="both"/>
        <w:rPr>
          <w:rFonts w:ascii="Comic Sans MS" w:hAnsi="Comic Sans MS"/>
        </w:rPr>
      </w:pPr>
      <w:r w:rsidRPr="00EB68D6">
        <w:rPr>
          <w:rFonts w:ascii="Comic Sans MS" w:hAnsi="Comic Sans MS"/>
        </w:rPr>
        <w:t xml:space="preserve">Questions à l’humanisme (PUF, 2000), qui lui valut le Grand Prix de Philosophie de l’Académie Française. </w:t>
      </w:r>
    </w:p>
    <w:p w:rsidR="00EB68D6" w:rsidRPr="00EB68D6" w:rsidRDefault="00EB68D6" w:rsidP="00EB68D6">
      <w:pPr>
        <w:pStyle w:val="Paragraphedeliste"/>
        <w:numPr>
          <w:ilvl w:val="0"/>
          <w:numId w:val="2"/>
        </w:numPr>
        <w:jc w:val="both"/>
        <w:rPr>
          <w:rFonts w:ascii="Comic Sans MS" w:hAnsi="Comic Sans MS"/>
        </w:rPr>
      </w:pPr>
      <w:r w:rsidRPr="00EB68D6">
        <w:rPr>
          <w:rFonts w:ascii="Comic Sans MS" w:hAnsi="Comic Sans MS"/>
        </w:rPr>
        <w:t xml:space="preserve">Parallèlement, à partir d’une thèse de doctorat d’Etat sur Pascal (Nature et histoire dans l’apologétique de Pascal, Belles Lettres, 1975), il mène une réflexion de philosophie religieuse qui lui a inspiré Pourquoi la religion ? (Armand Colin, 2006), </w:t>
      </w:r>
    </w:p>
    <w:p w:rsidR="00EB68D6" w:rsidRPr="00EB68D6" w:rsidRDefault="00EB68D6" w:rsidP="00EB68D6">
      <w:pPr>
        <w:pStyle w:val="Paragraphedeliste"/>
        <w:numPr>
          <w:ilvl w:val="0"/>
          <w:numId w:val="2"/>
        </w:numPr>
        <w:jc w:val="both"/>
        <w:rPr>
          <w:rFonts w:ascii="Comic Sans MS" w:hAnsi="Comic Sans MS"/>
        </w:rPr>
      </w:pPr>
      <w:r w:rsidRPr="00EB68D6">
        <w:rPr>
          <w:rFonts w:ascii="Comic Sans MS" w:hAnsi="Comic Sans MS"/>
        </w:rPr>
        <w:t xml:space="preserve">Le Dieu des philosophes (La Table Ronde, 2007) </w:t>
      </w:r>
    </w:p>
    <w:p w:rsidR="00EB68D6" w:rsidRPr="00EB68D6" w:rsidRDefault="00EB68D6" w:rsidP="00EB68D6">
      <w:pPr>
        <w:pStyle w:val="Paragraphedeliste"/>
        <w:numPr>
          <w:ilvl w:val="0"/>
          <w:numId w:val="2"/>
        </w:numPr>
        <w:jc w:val="both"/>
        <w:rPr>
          <w:rFonts w:ascii="Comic Sans MS" w:hAnsi="Comic Sans MS"/>
        </w:rPr>
      </w:pPr>
      <w:r w:rsidRPr="00EB68D6">
        <w:rPr>
          <w:rFonts w:ascii="Comic Sans MS" w:hAnsi="Comic Sans MS"/>
        </w:rPr>
        <w:t xml:space="preserve">et Pascal, la clé du </w:t>
      </w:r>
      <w:r w:rsidRPr="00EB68D6">
        <w:rPr>
          <w:rFonts w:ascii="Comic Sans MS" w:hAnsi="Comic Sans MS"/>
        </w:rPr>
        <w:t>chiffre (La Table Ronde, 2007).</w:t>
      </w:r>
    </w:p>
    <w:p w:rsidR="00EB68D6" w:rsidRPr="00EB68D6" w:rsidRDefault="00EB68D6" w:rsidP="00EB68D6">
      <w:pPr>
        <w:jc w:val="both"/>
        <w:rPr>
          <w:rFonts w:ascii="Comic Sans MS" w:hAnsi="Comic Sans MS"/>
        </w:rPr>
      </w:pPr>
      <w:r w:rsidRPr="00EB68D6">
        <w:rPr>
          <w:rFonts w:ascii="Comic Sans MS" w:hAnsi="Comic Sans MS"/>
        </w:rPr>
        <w:t xml:space="preserve">   Attaché à la tradition et à la transmission des savoirs, il voudrait faire part à ses auditeurs d’Orange de </w:t>
      </w:r>
      <w:r w:rsidRPr="00EB68D6">
        <w:rPr>
          <w:rFonts w:ascii="Comic Sans MS" w:hAnsi="Comic Sans MS"/>
        </w:rPr>
        <w:t>quelques-unes</w:t>
      </w:r>
      <w:r w:rsidRPr="00EB68D6">
        <w:rPr>
          <w:rFonts w:ascii="Comic Sans MS" w:hAnsi="Comic Sans MS"/>
        </w:rPr>
        <w:t xml:space="preserve"> de ses découvertes sur les origines humanistes de l’identité européenne. Prise de notes en conférence</w:t>
      </w:r>
    </w:p>
    <w:p w:rsidR="00EB68D6" w:rsidRPr="00EB68D6" w:rsidRDefault="00EB68D6" w:rsidP="00EB68D6">
      <w:pPr>
        <w:jc w:val="both"/>
        <w:rPr>
          <w:rFonts w:ascii="Comic Sans MS" w:hAnsi="Comic Sans MS"/>
        </w:rPr>
      </w:pPr>
      <w:r>
        <w:rPr>
          <w:rFonts w:ascii="Comic Sans MS" w:hAnsi="Comic Sans MS"/>
        </w:rPr>
        <w:t>-------------------------------------------------------------------------------------------</w:t>
      </w:r>
    </w:p>
    <w:p w:rsidR="00EB68D6" w:rsidRPr="00EB68D6" w:rsidRDefault="00EB68D6" w:rsidP="00EB68D6">
      <w:pPr>
        <w:jc w:val="both"/>
        <w:rPr>
          <w:rFonts w:ascii="Comic Sans MS" w:hAnsi="Comic Sans MS"/>
        </w:rPr>
      </w:pPr>
      <w:r w:rsidRPr="00EB68D6">
        <w:rPr>
          <w:rFonts w:ascii="Comic Sans MS" w:hAnsi="Comic Sans MS"/>
          <w:b/>
          <w:sz w:val="28"/>
          <w:szCs w:val="28"/>
        </w:rPr>
        <w:t>Jean-Marc Ferry</w:t>
      </w:r>
      <w:r>
        <w:rPr>
          <w:rFonts w:ascii="Comic Sans MS" w:hAnsi="Comic Sans MS"/>
        </w:rPr>
        <w:t xml:space="preserve"> Ethique, morale et religion</w:t>
      </w:r>
    </w:p>
    <w:p w:rsidR="00EB68D6" w:rsidRPr="00EB68D6" w:rsidRDefault="00EB68D6" w:rsidP="00EB68D6">
      <w:pPr>
        <w:jc w:val="both"/>
        <w:rPr>
          <w:rFonts w:ascii="Comic Sans MS" w:hAnsi="Comic Sans MS"/>
        </w:rPr>
      </w:pPr>
      <w:r w:rsidRPr="00EB68D6">
        <w:rPr>
          <w:rFonts w:ascii="Comic Sans MS" w:hAnsi="Comic Sans MS"/>
        </w:rPr>
        <w:t>Jean-Marc Ferry enseigne la philosophie et les sciences politiques à l’Université Libre de Bruxelles. Il a traduit en français la Théorie de l’agir communicationnel de Jürgen Habermas. Disciple de Habermas il développe une pensée articulée autour de l’idée que l’identité humaine est tantôt narrative, interprétative, argumentative ou reconstructive. Sa pensée philosophique se prolonge sur le plan politique dans une réflexion sur l’Europe comme lieu du post-national</w:t>
      </w:r>
      <w:r>
        <w:rPr>
          <w:rFonts w:ascii="Comic Sans MS" w:hAnsi="Comic Sans MS"/>
        </w:rPr>
        <w:t>.</w:t>
      </w:r>
    </w:p>
    <w:p w:rsidR="00EB68D6" w:rsidRPr="00EB68D6" w:rsidRDefault="00EB68D6" w:rsidP="00EB68D6">
      <w:pPr>
        <w:jc w:val="both"/>
        <w:rPr>
          <w:rFonts w:ascii="Comic Sans MS" w:hAnsi="Comic Sans MS"/>
        </w:rPr>
      </w:pPr>
      <w:r>
        <w:rPr>
          <w:rFonts w:ascii="Comic Sans MS" w:hAnsi="Comic Sans MS"/>
        </w:rPr>
        <w:t>Ses principaux ouvrages :</w:t>
      </w:r>
    </w:p>
    <w:p w:rsidR="00EB68D6" w:rsidRPr="00EB68D6" w:rsidRDefault="00EB68D6" w:rsidP="00EB68D6">
      <w:pPr>
        <w:pStyle w:val="Paragraphedeliste"/>
        <w:numPr>
          <w:ilvl w:val="0"/>
          <w:numId w:val="3"/>
        </w:numPr>
        <w:jc w:val="both"/>
        <w:rPr>
          <w:rFonts w:ascii="Comic Sans MS" w:hAnsi="Comic Sans MS"/>
        </w:rPr>
      </w:pPr>
      <w:r w:rsidRPr="00EB68D6">
        <w:rPr>
          <w:rFonts w:ascii="Comic Sans MS" w:hAnsi="Comic Sans MS"/>
        </w:rPr>
        <w:t xml:space="preserve">Les Puissances de l’expérience. Essai sur l’identité contemporaine (Cerf, 1991), </w:t>
      </w:r>
    </w:p>
    <w:p w:rsidR="00EB68D6" w:rsidRPr="00EB68D6" w:rsidRDefault="00EB68D6" w:rsidP="00EB68D6">
      <w:pPr>
        <w:pStyle w:val="Paragraphedeliste"/>
        <w:numPr>
          <w:ilvl w:val="0"/>
          <w:numId w:val="3"/>
        </w:numPr>
        <w:jc w:val="both"/>
        <w:rPr>
          <w:rFonts w:ascii="Comic Sans MS" w:hAnsi="Comic Sans MS"/>
        </w:rPr>
      </w:pPr>
      <w:r w:rsidRPr="00EB68D6">
        <w:rPr>
          <w:rFonts w:ascii="Comic Sans MS" w:hAnsi="Comic Sans MS"/>
        </w:rPr>
        <w:t xml:space="preserve">Philosophie de la communication (Cerf, 1994), </w:t>
      </w:r>
    </w:p>
    <w:p w:rsidR="00EB68D6" w:rsidRPr="00EB68D6" w:rsidRDefault="00EB68D6" w:rsidP="00EB68D6">
      <w:pPr>
        <w:pStyle w:val="Paragraphedeliste"/>
        <w:numPr>
          <w:ilvl w:val="0"/>
          <w:numId w:val="3"/>
        </w:numPr>
        <w:jc w:val="both"/>
        <w:rPr>
          <w:rFonts w:ascii="Comic Sans MS" w:hAnsi="Comic Sans MS"/>
        </w:rPr>
      </w:pPr>
      <w:r w:rsidRPr="00EB68D6">
        <w:rPr>
          <w:rFonts w:ascii="Comic Sans MS" w:hAnsi="Comic Sans MS"/>
        </w:rPr>
        <w:t xml:space="preserve">L’Allocation universelle. Pour un revenu de citoyenneté (Cerf, 1995), </w:t>
      </w:r>
    </w:p>
    <w:p w:rsidR="00EB68D6" w:rsidRPr="00EB68D6" w:rsidRDefault="00EB68D6" w:rsidP="00EB68D6">
      <w:pPr>
        <w:pStyle w:val="Paragraphedeliste"/>
        <w:numPr>
          <w:ilvl w:val="0"/>
          <w:numId w:val="3"/>
        </w:numPr>
        <w:jc w:val="both"/>
        <w:rPr>
          <w:rFonts w:ascii="Comic Sans MS" w:hAnsi="Comic Sans MS"/>
        </w:rPr>
      </w:pPr>
      <w:r w:rsidRPr="00EB68D6">
        <w:rPr>
          <w:rFonts w:ascii="Comic Sans MS" w:hAnsi="Comic Sans MS"/>
        </w:rPr>
        <w:t xml:space="preserve">La Question de l’Etat européen (Gallimard, 2000), </w:t>
      </w:r>
    </w:p>
    <w:p w:rsidR="00EB68D6" w:rsidRPr="00EB68D6" w:rsidRDefault="00EB68D6" w:rsidP="00EB68D6">
      <w:pPr>
        <w:pStyle w:val="Paragraphedeliste"/>
        <w:numPr>
          <w:ilvl w:val="0"/>
          <w:numId w:val="3"/>
        </w:numPr>
        <w:jc w:val="both"/>
        <w:rPr>
          <w:rFonts w:ascii="Comic Sans MS" w:hAnsi="Comic Sans MS"/>
        </w:rPr>
      </w:pPr>
      <w:r w:rsidRPr="00EB68D6">
        <w:rPr>
          <w:rFonts w:ascii="Comic Sans MS" w:hAnsi="Comic Sans MS"/>
        </w:rPr>
        <w:t xml:space="preserve">Les Grammaires de l’intelligence (Cerf, 2004), </w:t>
      </w:r>
    </w:p>
    <w:p w:rsidR="00EB68D6" w:rsidRPr="00EB68D6" w:rsidRDefault="00EB68D6" w:rsidP="00EB68D6">
      <w:pPr>
        <w:pStyle w:val="Paragraphedeliste"/>
        <w:numPr>
          <w:ilvl w:val="0"/>
          <w:numId w:val="3"/>
        </w:numPr>
        <w:jc w:val="both"/>
        <w:rPr>
          <w:rFonts w:ascii="Comic Sans MS" w:hAnsi="Comic Sans MS"/>
        </w:rPr>
      </w:pPr>
      <w:r w:rsidRPr="00EB68D6">
        <w:rPr>
          <w:rFonts w:ascii="Comic Sans MS" w:hAnsi="Comic Sans MS"/>
        </w:rPr>
        <w:t>Europe, la voie kantienne. Essai sur l’identité post-nationale (Cerf, 2005).</w:t>
      </w:r>
    </w:p>
    <w:p w:rsidR="00EB68D6" w:rsidRPr="00EB68D6" w:rsidRDefault="00EB68D6" w:rsidP="00EB68D6">
      <w:pPr>
        <w:jc w:val="both"/>
        <w:rPr>
          <w:rFonts w:ascii="Comic Sans MS" w:hAnsi="Comic Sans MS"/>
        </w:rPr>
      </w:pPr>
      <w:r>
        <w:rPr>
          <w:rFonts w:ascii="Comic Sans MS" w:hAnsi="Comic Sans MS"/>
        </w:rPr>
        <w:lastRenderedPageBreak/>
        <w:t>Sa conférence :</w:t>
      </w:r>
    </w:p>
    <w:p w:rsidR="00EB68D6" w:rsidRPr="00EB68D6" w:rsidRDefault="00EB68D6" w:rsidP="00EB68D6">
      <w:pPr>
        <w:jc w:val="both"/>
        <w:rPr>
          <w:rFonts w:ascii="Comic Sans MS" w:hAnsi="Comic Sans MS"/>
        </w:rPr>
      </w:pPr>
      <w:r w:rsidRPr="00EB68D6">
        <w:rPr>
          <w:rFonts w:ascii="Comic Sans MS" w:hAnsi="Comic Sans MS"/>
        </w:rPr>
        <w:t xml:space="preserve">   L’éthique, la morale et la religion sont les pôles auxquels s’oriente l’humanité pour autant qu’elle veuille donner sens</w:t>
      </w:r>
      <w:r>
        <w:rPr>
          <w:rFonts w:ascii="Comic Sans MS" w:hAnsi="Comic Sans MS"/>
        </w:rPr>
        <w:t xml:space="preserve"> à son existence.</w:t>
      </w:r>
    </w:p>
    <w:p w:rsidR="00EB68D6" w:rsidRPr="00EB68D6" w:rsidRDefault="00EB68D6" w:rsidP="00EB68D6">
      <w:pPr>
        <w:jc w:val="both"/>
        <w:rPr>
          <w:rFonts w:ascii="Comic Sans MS" w:hAnsi="Comic Sans MS"/>
        </w:rPr>
      </w:pPr>
      <w:r w:rsidRPr="00EB68D6">
        <w:rPr>
          <w:rFonts w:ascii="Comic Sans MS" w:hAnsi="Comic Sans MS"/>
        </w:rPr>
        <w:t xml:space="preserve">   À l’éthique correspond l’orientation vers la vie bonne ; à la morale, celle de la société juste ; tandis qu’à une religion séculière revient l’idéal de l’unité. C’est l’anticipation d’une vie alliant l’amour des hommes au respect de l</w:t>
      </w:r>
      <w:r>
        <w:rPr>
          <w:rFonts w:ascii="Comic Sans MS" w:hAnsi="Comic Sans MS"/>
        </w:rPr>
        <w:t>eurs droits.</w:t>
      </w:r>
    </w:p>
    <w:p w:rsidR="00EB68D6" w:rsidRPr="00EB68D6" w:rsidRDefault="00EB68D6" w:rsidP="00EB68D6">
      <w:pPr>
        <w:jc w:val="both"/>
        <w:rPr>
          <w:rFonts w:ascii="Comic Sans MS" w:hAnsi="Comic Sans MS"/>
        </w:rPr>
      </w:pPr>
      <w:r w:rsidRPr="00EB68D6">
        <w:rPr>
          <w:rFonts w:ascii="Comic Sans MS" w:hAnsi="Comic Sans MS"/>
        </w:rPr>
        <w:t xml:space="preserve">   Cependant, le risque totalitaire n’est pas loin, lorsque l’amour investit les rapports politiques entre un peuple et son leader, ou lorsque le droit vient régenter les relations familiales jusque dans ses aspects les plus intimes. Ce sont </w:t>
      </w:r>
      <w:r>
        <w:rPr>
          <w:rFonts w:ascii="Comic Sans MS" w:hAnsi="Comic Sans MS"/>
        </w:rPr>
        <w:t>là des problèmes actuels.</w:t>
      </w:r>
    </w:p>
    <w:p w:rsidR="00EB68D6" w:rsidRPr="00EB68D6" w:rsidRDefault="00EB68D6" w:rsidP="00EB68D6">
      <w:pPr>
        <w:jc w:val="both"/>
        <w:rPr>
          <w:rFonts w:ascii="Comic Sans MS" w:hAnsi="Comic Sans MS"/>
        </w:rPr>
      </w:pPr>
      <w:r w:rsidRPr="00EB68D6">
        <w:rPr>
          <w:rFonts w:ascii="Comic Sans MS" w:hAnsi="Comic Sans MS"/>
        </w:rPr>
        <w:t xml:space="preserve">   Comment articuler les deux principes sans faire courir à nos sociétés le</w:t>
      </w:r>
      <w:r>
        <w:rPr>
          <w:rFonts w:ascii="Comic Sans MS" w:hAnsi="Comic Sans MS"/>
        </w:rPr>
        <w:t xml:space="preserve"> risque de graves régressions ?</w:t>
      </w:r>
      <w:bookmarkStart w:id="0" w:name="_GoBack"/>
      <w:bookmarkEnd w:id="0"/>
    </w:p>
    <w:p w:rsidR="00EB68D6" w:rsidRPr="00EB68D6" w:rsidRDefault="00EB68D6" w:rsidP="00EB68D6">
      <w:pPr>
        <w:jc w:val="both"/>
        <w:rPr>
          <w:rFonts w:ascii="Comic Sans MS" w:hAnsi="Comic Sans MS"/>
        </w:rPr>
      </w:pPr>
      <w:r w:rsidRPr="00EB68D6">
        <w:rPr>
          <w:rFonts w:ascii="Comic Sans MS" w:hAnsi="Comic Sans MS"/>
        </w:rPr>
        <w:t xml:space="preserve">   C’est le défi auquel doit s’affronter une réflexion sur le temps présent, une réflexion qui se risque aussi à l’imagination prospective. On parle d’espérance cosmopolitique.</w:t>
      </w:r>
    </w:p>
    <w:p w:rsidR="00EB68D6" w:rsidRPr="00EB68D6" w:rsidRDefault="00EB68D6" w:rsidP="00EB68D6">
      <w:pPr>
        <w:jc w:val="both"/>
        <w:rPr>
          <w:rFonts w:ascii="Comic Sans MS" w:hAnsi="Comic Sans MS"/>
        </w:rPr>
      </w:pPr>
    </w:p>
    <w:p w:rsidR="00FB5BE5" w:rsidRPr="00EB68D6" w:rsidRDefault="00FB5BE5" w:rsidP="00EB68D6">
      <w:pPr>
        <w:jc w:val="both"/>
        <w:rPr>
          <w:rFonts w:ascii="Comic Sans MS" w:hAnsi="Comic Sans MS"/>
        </w:rPr>
      </w:pPr>
    </w:p>
    <w:sectPr w:rsidR="00FB5BE5" w:rsidRPr="00EB6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1DEB"/>
    <w:multiLevelType w:val="hybridMultilevel"/>
    <w:tmpl w:val="551C7DE8"/>
    <w:lvl w:ilvl="0" w:tplc="AD700C46">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6CA2BF2"/>
    <w:multiLevelType w:val="hybridMultilevel"/>
    <w:tmpl w:val="594C4A14"/>
    <w:lvl w:ilvl="0" w:tplc="AD700C46">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E768B6"/>
    <w:multiLevelType w:val="hybridMultilevel"/>
    <w:tmpl w:val="D7C4F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D6"/>
    <w:rsid w:val="00B97BB5"/>
    <w:rsid w:val="00EB68D6"/>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2524</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2023-02-04T14:44:00Z</dcterms:created>
  <dcterms:modified xsi:type="dcterms:W3CDTF">2023-02-04T14:49:00Z</dcterms:modified>
</cp:coreProperties>
</file>