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CC6" w:rsidRPr="00E24CC6" w:rsidRDefault="00E24CC6" w:rsidP="00E24CC6">
      <w:pPr>
        <w:jc w:val="both"/>
        <w:rPr>
          <w:rFonts w:ascii="Comic Sans MS" w:hAnsi="Comic Sans MS"/>
        </w:rPr>
      </w:pPr>
      <w:r>
        <w:rPr>
          <w:rFonts w:ascii="Comic Sans MS" w:hAnsi="Comic Sans MS"/>
        </w:rPr>
        <w:t>Les conférences en détail 2002 2003</w:t>
      </w:r>
    </w:p>
    <w:p w:rsidR="00E24CC6" w:rsidRPr="00E24CC6" w:rsidRDefault="00E24CC6" w:rsidP="00E24CC6">
      <w:pPr>
        <w:jc w:val="both"/>
        <w:rPr>
          <w:rFonts w:ascii="Comic Sans MS" w:hAnsi="Comic Sans MS"/>
        </w:rPr>
      </w:pPr>
      <w:r w:rsidRPr="00E24CC6">
        <w:rPr>
          <w:rFonts w:ascii="Comic Sans MS" w:hAnsi="Comic Sans MS"/>
          <w:b/>
          <w:sz w:val="28"/>
          <w:szCs w:val="28"/>
        </w:rPr>
        <w:t>Mehdi</w:t>
      </w:r>
      <w:r w:rsidRPr="00E24CC6">
        <w:rPr>
          <w:rFonts w:ascii="Comic Sans MS" w:hAnsi="Comic Sans MS"/>
          <w:b/>
          <w:sz w:val="28"/>
          <w:szCs w:val="28"/>
        </w:rPr>
        <w:t xml:space="preserve"> BELHAJ KACEM</w:t>
      </w:r>
      <w:r w:rsidRPr="00E24CC6">
        <w:rPr>
          <w:rFonts w:ascii="Comic Sans MS" w:hAnsi="Comic Sans MS"/>
          <w:b/>
          <w:sz w:val="28"/>
          <w:szCs w:val="28"/>
        </w:rPr>
        <w:t xml:space="preserve"> </w:t>
      </w:r>
      <w:r>
        <w:rPr>
          <w:rFonts w:ascii="Comic Sans MS" w:hAnsi="Comic Sans MS"/>
        </w:rPr>
        <w:t>Nihilisme et démocratie</w:t>
      </w:r>
    </w:p>
    <w:p w:rsidR="00E24CC6" w:rsidRPr="00E24CC6" w:rsidRDefault="00E24CC6" w:rsidP="00E24CC6">
      <w:pPr>
        <w:jc w:val="both"/>
        <w:rPr>
          <w:rFonts w:ascii="Comic Sans MS" w:hAnsi="Comic Sans MS"/>
        </w:rPr>
      </w:pPr>
      <w:r>
        <w:rPr>
          <w:rFonts w:ascii="Comic Sans MS" w:hAnsi="Comic Sans MS"/>
        </w:rPr>
        <w:t>Le conférencier :</w:t>
      </w:r>
    </w:p>
    <w:p w:rsidR="00E24CC6" w:rsidRDefault="00E24CC6" w:rsidP="00E24CC6">
      <w:pPr>
        <w:jc w:val="both"/>
        <w:rPr>
          <w:rFonts w:ascii="Comic Sans MS" w:hAnsi="Comic Sans MS"/>
        </w:rPr>
      </w:pPr>
      <w:r w:rsidRPr="00E24CC6">
        <w:rPr>
          <w:rFonts w:ascii="Comic Sans MS" w:hAnsi="Comic Sans MS"/>
        </w:rPr>
        <w:t xml:space="preserve">Né en 1973 à Paris Mehdi BELHAJ KACEM est </w:t>
      </w:r>
    </w:p>
    <w:p w:rsidR="00E24CC6" w:rsidRDefault="00E24CC6" w:rsidP="00E24CC6">
      <w:pPr>
        <w:jc w:val="both"/>
        <w:rPr>
          <w:rFonts w:ascii="Comic Sans MS" w:hAnsi="Comic Sans MS"/>
        </w:rPr>
      </w:pPr>
      <w:r w:rsidRPr="00E24CC6">
        <w:rPr>
          <w:rFonts w:ascii="Comic Sans MS" w:hAnsi="Comic Sans MS"/>
        </w:rPr>
        <w:t>Romancier</w:t>
      </w:r>
      <w:r w:rsidRPr="00E24CC6">
        <w:rPr>
          <w:rFonts w:ascii="Comic Sans MS" w:hAnsi="Comic Sans MS"/>
        </w:rPr>
        <w:t xml:space="preserve"> </w:t>
      </w:r>
    </w:p>
    <w:p w:rsidR="00E24CC6" w:rsidRDefault="00E24CC6" w:rsidP="00E24CC6">
      <w:pPr>
        <w:pStyle w:val="Paragraphedeliste"/>
        <w:numPr>
          <w:ilvl w:val="0"/>
          <w:numId w:val="2"/>
        </w:numPr>
        <w:jc w:val="both"/>
        <w:rPr>
          <w:rFonts w:ascii="Comic Sans MS" w:hAnsi="Comic Sans MS"/>
        </w:rPr>
      </w:pPr>
      <w:r w:rsidRPr="00E24CC6">
        <w:rPr>
          <w:rFonts w:ascii="Comic Sans MS" w:hAnsi="Comic Sans MS"/>
        </w:rPr>
        <w:t xml:space="preserve">(Cancer [J’ai Lu, 1993] ; </w:t>
      </w:r>
    </w:p>
    <w:p w:rsidR="00E24CC6" w:rsidRDefault="00E24CC6" w:rsidP="00E24CC6">
      <w:pPr>
        <w:pStyle w:val="Paragraphedeliste"/>
        <w:numPr>
          <w:ilvl w:val="0"/>
          <w:numId w:val="2"/>
        </w:numPr>
        <w:jc w:val="both"/>
        <w:rPr>
          <w:rFonts w:ascii="Comic Sans MS" w:hAnsi="Comic Sans MS"/>
        </w:rPr>
      </w:pPr>
      <w:r w:rsidRPr="00E24CC6">
        <w:rPr>
          <w:rFonts w:ascii="Comic Sans MS" w:hAnsi="Comic Sans MS"/>
        </w:rPr>
        <w:t xml:space="preserve">Vies et morts d’Irène </w:t>
      </w:r>
      <w:proofErr w:type="spellStart"/>
      <w:r w:rsidRPr="00E24CC6">
        <w:rPr>
          <w:rFonts w:ascii="Comic Sans MS" w:hAnsi="Comic Sans MS"/>
        </w:rPr>
        <w:t>Lepic</w:t>
      </w:r>
      <w:proofErr w:type="spellEnd"/>
      <w:r w:rsidRPr="00E24CC6">
        <w:rPr>
          <w:rFonts w:ascii="Comic Sans MS" w:hAnsi="Comic Sans MS"/>
        </w:rPr>
        <w:t xml:space="preserve"> [</w:t>
      </w:r>
      <w:proofErr w:type="spellStart"/>
      <w:r w:rsidRPr="00E24CC6">
        <w:rPr>
          <w:rFonts w:ascii="Comic Sans MS" w:hAnsi="Comic Sans MS"/>
        </w:rPr>
        <w:t>Tristram</w:t>
      </w:r>
      <w:proofErr w:type="spellEnd"/>
      <w:r w:rsidRPr="00E24CC6">
        <w:rPr>
          <w:rFonts w:ascii="Comic Sans MS" w:hAnsi="Comic Sans MS"/>
        </w:rPr>
        <w:t xml:space="preserve">, 1996]), </w:t>
      </w:r>
    </w:p>
    <w:p w:rsidR="00E24CC6" w:rsidRDefault="00E24CC6" w:rsidP="00E24CC6">
      <w:pPr>
        <w:jc w:val="both"/>
        <w:rPr>
          <w:rFonts w:ascii="Comic Sans MS" w:hAnsi="Comic Sans MS"/>
        </w:rPr>
      </w:pPr>
      <w:r w:rsidRPr="00E24CC6">
        <w:rPr>
          <w:rFonts w:ascii="Comic Sans MS" w:hAnsi="Comic Sans MS"/>
        </w:rPr>
        <w:t>Essayiste</w:t>
      </w:r>
      <w:r w:rsidRPr="00E24CC6">
        <w:rPr>
          <w:rFonts w:ascii="Comic Sans MS" w:hAnsi="Comic Sans MS"/>
        </w:rPr>
        <w:t xml:space="preserve"> </w:t>
      </w:r>
    </w:p>
    <w:p w:rsidR="00E24CC6" w:rsidRDefault="00E24CC6" w:rsidP="00E24CC6">
      <w:pPr>
        <w:pStyle w:val="Paragraphedeliste"/>
        <w:numPr>
          <w:ilvl w:val="0"/>
          <w:numId w:val="2"/>
        </w:numPr>
        <w:jc w:val="both"/>
        <w:rPr>
          <w:rFonts w:ascii="Comic Sans MS" w:hAnsi="Comic Sans MS"/>
        </w:rPr>
      </w:pPr>
      <w:r w:rsidRPr="00E24CC6">
        <w:rPr>
          <w:rFonts w:ascii="Comic Sans MS" w:hAnsi="Comic Sans MS"/>
        </w:rPr>
        <w:t>(Esthétique du chaos [</w:t>
      </w:r>
      <w:proofErr w:type="spellStart"/>
      <w:r w:rsidRPr="00E24CC6">
        <w:rPr>
          <w:rFonts w:ascii="Comic Sans MS" w:hAnsi="Comic Sans MS"/>
        </w:rPr>
        <w:t>Tristram</w:t>
      </w:r>
      <w:proofErr w:type="spellEnd"/>
      <w:r w:rsidRPr="00E24CC6">
        <w:rPr>
          <w:rFonts w:ascii="Comic Sans MS" w:hAnsi="Comic Sans MS"/>
        </w:rPr>
        <w:t xml:space="preserve">, 2000] ; </w:t>
      </w:r>
    </w:p>
    <w:p w:rsidR="00E24CC6" w:rsidRDefault="00E24CC6" w:rsidP="00E24CC6">
      <w:pPr>
        <w:pStyle w:val="Paragraphedeliste"/>
        <w:numPr>
          <w:ilvl w:val="0"/>
          <w:numId w:val="2"/>
        </w:numPr>
        <w:jc w:val="both"/>
        <w:rPr>
          <w:rFonts w:ascii="Comic Sans MS" w:hAnsi="Comic Sans MS"/>
        </w:rPr>
      </w:pPr>
      <w:r w:rsidRPr="00E24CC6">
        <w:rPr>
          <w:rFonts w:ascii="Comic Sans MS" w:hAnsi="Comic Sans MS"/>
        </w:rPr>
        <w:t>Society [</w:t>
      </w:r>
      <w:proofErr w:type="spellStart"/>
      <w:r w:rsidRPr="00E24CC6">
        <w:rPr>
          <w:rFonts w:ascii="Comic Sans MS" w:hAnsi="Comic Sans MS"/>
        </w:rPr>
        <w:t>Tristram</w:t>
      </w:r>
      <w:proofErr w:type="spellEnd"/>
      <w:r w:rsidRPr="00E24CC6">
        <w:rPr>
          <w:rFonts w:ascii="Comic Sans MS" w:hAnsi="Comic Sans MS"/>
        </w:rPr>
        <w:t xml:space="preserve">, 2001] ; </w:t>
      </w:r>
    </w:p>
    <w:p w:rsidR="00E24CC6" w:rsidRDefault="00E24CC6" w:rsidP="00E24CC6">
      <w:pPr>
        <w:pStyle w:val="Paragraphedeliste"/>
        <w:numPr>
          <w:ilvl w:val="0"/>
          <w:numId w:val="2"/>
        </w:numPr>
        <w:jc w:val="both"/>
        <w:rPr>
          <w:rFonts w:ascii="Comic Sans MS" w:hAnsi="Comic Sans MS"/>
        </w:rPr>
      </w:pPr>
      <w:r w:rsidRPr="00E24CC6">
        <w:rPr>
          <w:rFonts w:ascii="Comic Sans MS" w:hAnsi="Comic Sans MS"/>
        </w:rPr>
        <w:t xml:space="preserve">La chute de la démocratie </w:t>
      </w:r>
      <w:proofErr w:type="spellStart"/>
      <w:r w:rsidRPr="00E24CC6">
        <w:rPr>
          <w:rFonts w:ascii="Comic Sans MS" w:hAnsi="Comic Sans MS"/>
        </w:rPr>
        <w:t>médiatico</w:t>
      </w:r>
      <w:proofErr w:type="spellEnd"/>
      <w:r w:rsidRPr="00E24CC6">
        <w:rPr>
          <w:rFonts w:ascii="Comic Sans MS" w:hAnsi="Comic Sans MS"/>
        </w:rPr>
        <w:t xml:space="preserve">-parlementaire [Sens &amp; Tonka, 2002] ; </w:t>
      </w:r>
    </w:p>
    <w:p w:rsidR="00E24CC6" w:rsidRDefault="00E24CC6" w:rsidP="00E24CC6">
      <w:pPr>
        <w:pStyle w:val="Paragraphedeliste"/>
        <w:numPr>
          <w:ilvl w:val="0"/>
          <w:numId w:val="2"/>
        </w:numPr>
        <w:jc w:val="both"/>
        <w:rPr>
          <w:rFonts w:ascii="Comic Sans MS" w:hAnsi="Comic Sans MS"/>
        </w:rPr>
      </w:pPr>
      <w:r w:rsidRPr="00E24CC6">
        <w:rPr>
          <w:rFonts w:ascii="Comic Sans MS" w:hAnsi="Comic Sans MS"/>
        </w:rPr>
        <w:t xml:space="preserve">La psychose française. Les banlieues : le ban de la République [Gallimard, 2006]), </w:t>
      </w:r>
    </w:p>
    <w:p w:rsidR="00E24CC6" w:rsidRDefault="00E24CC6" w:rsidP="00E24CC6">
      <w:pPr>
        <w:jc w:val="both"/>
        <w:rPr>
          <w:rFonts w:ascii="Comic Sans MS" w:hAnsi="Comic Sans MS"/>
        </w:rPr>
      </w:pPr>
      <w:r w:rsidRPr="00E24CC6">
        <w:rPr>
          <w:rFonts w:ascii="Comic Sans MS" w:hAnsi="Comic Sans MS"/>
        </w:rPr>
        <w:t>Comédien</w:t>
      </w:r>
      <w:r w:rsidRPr="00E24CC6">
        <w:rPr>
          <w:rFonts w:ascii="Comic Sans MS" w:hAnsi="Comic Sans MS"/>
        </w:rPr>
        <w:t xml:space="preserve"> </w:t>
      </w:r>
    </w:p>
    <w:p w:rsidR="00E24CC6" w:rsidRDefault="00E24CC6" w:rsidP="00E24CC6">
      <w:pPr>
        <w:jc w:val="both"/>
        <w:rPr>
          <w:rFonts w:ascii="Comic Sans MS" w:hAnsi="Comic Sans MS"/>
        </w:rPr>
      </w:pPr>
      <w:r w:rsidRPr="00E24CC6">
        <w:rPr>
          <w:rFonts w:ascii="Comic Sans MS" w:hAnsi="Comic Sans MS"/>
        </w:rPr>
        <w:t>(</w:t>
      </w:r>
      <w:proofErr w:type="gramStart"/>
      <w:r w:rsidRPr="00E24CC6">
        <w:rPr>
          <w:rFonts w:ascii="Comic Sans MS" w:hAnsi="Comic Sans MS"/>
        </w:rPr>
        <w:t>il</w:t>
      </w:r>
      <w:proofErr w:type="gramEnd"/>
      <w:r w:rsidRPr="00E24CC6">
        <w:rPr>
          <w:rFonts w:ascii="Comic Sans MS" w:hAnsi="Comic Sans MS"/>
        </w:rPr>
        <w:t xml:space="preserve"> tient le rôle principal dans Sauvage innocence, un film de Philippe </w:t>
      </w:r>
      <w:proofErr w:type="spellStart"/>
      <w:r w:rsidRPr="00E24CC6">
        <w:rPr>
          <w:rFonts w:ascii="Comic Sans MS" w:hAnsi="Comic Sans MS"/>
        </w:rPr>
        <w:t>Garrel</w:t>
      </w:r>
      <w:proofErr w:type="spellEnd"/>
      <w:r w:rsidRPr="00E24CC6">
        <w:rPr>
          <w:rFonts w:ascii="Comic Sans MS" w:hAnsi="Comic Sans MS"/>
        </w:rPr>
        <w:t xml:space="preserve"> sorti en  2001) </w:t>
      </w:r>
    </w:p>
    <w:p w:rsidR="00E24CC6" w:rsidRDefault="00E24CC6" w:rsidP="00E24CC6">
      <w:pPr>
        <w:jc w:val="both"/>
        <w:rPr>
          <w:rFonts w:ascii="Comic Sans MS" w:hAnsi="Comic Sans MS"/>
        </w:rPr>
      </w:pPr>
      <w:r w:rsidRPr="00E24CC6">
        <w:rPr>
          <w:rFonts w:ascii="Comic Sans MS" w:hAnsi="Comic Sans MS"/>
        </w:rPr>
        <w:t>Et</w:t>
      </w:r>
      <w:r w:rsidRPr="00E24CC6">
        <w:rPr>
          <w:rFonts w:ascii="Comic Sans MS" w:hAnsi="Comic Sans MS"/>
        </w:rPr>
        <w:t xml:space="preserve"> philosophe </w:t>
      </w:r>
    </w:p>
    <w:p w:rsidR="00E24CC6" w:rsidRPr="00E24CC6" w:rsidRDefault="00E24CC6" w:rsidP="00E24CC6">
      <w:pPr>
        <w:pStyle w:val="Paragraphedeliste"/>
        <w:numPr>
          <w:ilvl w:val="0"/>
          <w:numId w:val="2"/>
        </w:numPr>
        <w:jc w:val="both"/>
        <w:rPr>
          <w:rFonts w:ascii="Comic Sans MS" w:hAnsi="Comic Sans MS"/>
        </w:rPr>
      </w:pPr>
      <w:r w:rsidRPr="00E24CC6">
        <w:rPr>
          <w:rFonts w:ascii="Comic Sans MS" w:hAnsi="Comic Sans MS"/>
        </w:rPr>
        <w:t>L’Affect [</w:t>
      </w:r>
      <w:proofErr w:type="spellStart"/>
      <w:r w:rsidRPr="00E24CC6">
        <w:rPr>
          <w:rFonts w:ascii="Comic Sans MS" w:hAnsi="Comic Sans MS"/>
        </w:rPr>
        <w:t>Tristram</w:t>
      </w:r>
      <w:proofErr w:type="spellEnd"/>
      <w:r w:rsidRPr="00E24CC6">
        <w:rPr>
          <w:rFonts w:ascii="Comic Sans MS" w:hAnsi="Comic Sans MS"/>
        </w:rPr>
        <w:t xml:space="preserve">, 2004] ; </w:t>
      </w:r>
    </w:p>
    <w:p w:rsidR="00E24CC6" w:rsidRPr="00E24CC6" w:rsidRDefault="00E24CC6" w:rsidP="00E24CC6">
      <w:pPr>
        <w:pStyle w:val="Paragraphedeliste"/>
        <w:numPr>
          <w:ilvl w:val="0"/>
          <w:numId w:val="2"/>
        </w:numPr>
        <w:jc w:val="both"/>
        <w:rPr>
          <w:rFonts w:ascii="Comic Sans MS" w:hAnsi="Comic Sans MS"/>
        </w:rPr>
      </w:pPr>
      <w:r w:rsidRPr="00E24CC6">
        <w:rPr>
          <w:rFonts w:ascii="Comic Sans MS" w:hAnsi="Comic Sans MS"/>
        </w:rPr>
        <w:t>Evénement et répétition [</w:t>
      </w:r>
      <w:proofErr w:type="spellStart"/>
      <w:r w:rsidRPr="00E24CC6">
        <w:rPr>
          <w:rFonts w:ascii="Comic Sans MS" w:hAnsi="Comic Sans MS"/>
        </w:rPr>
        <w:t>Tristram</w:t>
      </w:r>
      <w:proofErr w:type="spellEnd"/>
      <w:r w:rsidRPr="00E24CC6">
        <w:rPr>
          <w:rFonts w:ascii="Comic Sans MS" w:hAnsi="Comic Sans MS"/>
        </w:rPr>
        <w:t xml:space="preserve">, 2004] ; </w:t>
      </w:r>
    </w:p>
    <w:p w:rsidR="00E24CC6" w:rsidRPr="00E24CC6" w:rsidRDefault="00E24CC6" w:rsidP="00E24CC6">
      <w:pPr>
        <w:pStyle w:val="Paragraphedeliste"/>
        <w:numPr>
          <w:ilvl w:val="0"/>
          <w:numId w:val="2"/>
        </w:numPr>
        <w:jc w:val="both"/>
        <w:rPr>
          <w:rFonts w:ascii="Comic Sans MS" w:hAnsi="Comic Sans MS"/>
        </w:rPr>
      </w:pPr>
      <w:r w:rsidRPr="00E24CC6">
        <w:rPr>
          <w:rFonts w:ascii="Comic Sans MS" w:hAnsi="Comic Sans MS"/>
        </w:rPr>
        <w:t xml:space="preserve">Pop philosophie, entretiens avec Philippe </w:t>
      </w:r>
      <w:proofErr w:type="spellStart"/>
      <w:r w:rsidRPr="00E24CC6">
        <w:rPr>
          <w:rFonts w:ascii="Comic Sans MS" w:hAnsi="Comic Sans MS"/>
        </w:rPr>
        <w:t>Nassif</w:t>
      </w:r>
      <w:proofErr w:type="spellEnd"/>
      <w:r w:rsidRPr="00E24CC6">
        <w:rPr>
          <w:rFonts w:ascii="Comic Sans MS" w:hAnsi="Comic Sans MS"/>
        </w:rPr>
        <w:t xml:space="preserve"> [Denoël, 2005] ; </w:t>
      </w:r>
    </w:p>
    <w:p w:rsidR="00E24CC6" w:rsidRPr="00E24CC6" w:rsidRDefault="00E24CC6" w:rsidP="00E24CC6">
      <w:pPr>
        <w:pStyle w:val="Paragraphedeliste"/>
        <w:numPr>
          <w:ilvl w:val="0"/>
          <w:numId w:val="2"/>
        </w:numPr>
        <w:jc w:val="both"/>
        <w:rPr>
          <w:rFonts w:ascii="Comic Sans MS" w:hAnsi="Comic Sans MS"/>
        </w:rPr>
      </w:pPr>
      <w:r w:rsidRPr="00E24CC6">
        <w:rPr>
          <w:rFonts w:ascii="Comic Sans MS" w:hAnsi="Comic Sans MS"/>
        </w:rPr>
        <w:t>Incipit « L’espr</w:t>
      </w:r>
      <w:r>
        <w:rPr>
          <w:rFonts w:ascii="Comic Sans MS" w:hAnsi="Comic Sans MS"/>
        </w:rPr>
        <w:t>it du nihilisme » [</w:t>
      </w:r>
      <w:proofErr w:type="spellStart"/>
      <w:r>
        <w:rPr>
          <w:rFonts w:ascii="Comic Sans MS" w:hAnsi="Comic Sans MS"/>
        </w:rPr>
        <w:t>Ikko</w:t>
      </w:r>
      <w:proofErr w:type="spellEnd"/>
      <w:r>
        <w:rPr>
          <w:rFonts w:ascii="Comic Sans MS" w:hAnsi="Comic Sans MS"/>
        </w:rPr>
        <w:t>, 2006]</w:t>
      </w:r>
    </w:p>
    <w:p w:rsidR="00E24CC6" w:rsidRPr="00E24CC6" w:rsidRDefault="00E24CC6" w:rsidP="00E24CC6">
      <w:pPr>
        <w:jc w:val="both"/>
        <w:rPr>
          <w:rFonts w:ascii="Comic Sans MS" w:hAnsi="Comic Sans MS"/>
        </w:rPr>
      </w:pPr>
      <w:r>
        <w:rPr>
          <w:rFonts w:ascii="Comic Sans MS" w:hAnsi="Comic Sans MS"/>
        </w:rPr>
        <w:t>Sa conférence :</w:t>
      </w:r>
    </w:p>
    <w:p w:rsidR="00E24CC6" w:rsidRPr="00E24CC6" w:rsidRDefault="00E24CC6" w:rsidP="00E24CC6">
      <w:pPr>
        <w:jc w:val="both"/>
        <w:rPr>
          <w:rFonts w:ascii="Comic Sans MS" w:hAnsi="Comic Sans MS"/>
        </w:rPr>
      </w:pPr>
      <w:r w:rsidRPr="00E24CC6">
        <w:rPr>
          <w:rFonts w:ascii="Comic Sans MS" w:hAnsi="Comic Sans MS"/>
        </w:rPr>
        <w:t xml:space="preserve">Il s’agira d’abord de montrer que le nihilisme n’existe pas, en déconstruisant cette notion chez ses créateurs, Nietzsche et Heidegger : ceux-ci développent une explication généalogique et historique du nihilisme, en tant que destin « réparable » à condition qu’on revienne sur les traces du crime métaphysique que constituent, selon eux, le monothéisme, le platonisme, la Révolution française et le socialisme. Mais en même temps et paradoxalement on analysera les trente dernières années comme les plus nihilistes qu’ait connues l’espace mental français. D’une façon provocatrice  on parlera, pour qualifier cette période, de « nihilisme démocratique » : ses vedettes, des « nouveaux philosophes » à Houellebecq, tiennent que la démocratie est la politique du « moins pire » ; son impératif catégorique est celui de la médiocrité, de la modestie, de la </w:t>
      </w:r>
      <w:proofErr w:type="spellStart"/>
      <w:r w:rsidRPr="00E24CC6">
        <w:rPr>
          <w:rFonts w:ascii="Comic Sans MS" w:hAnsi="Comic Sans MS"/>
        </w:rPr>
        <w:lastRenderedPageBreak/>
        <w:t>maniaco</w:t>
      </w:r>
      <w:proofErr w:type="spellEnd"/>
      <w:r w:rsidRPr="00E24CC6">
        <w:rPr>
          <w:rFonts w:ascii="Comic Sans MS" w:hAnsi="Comic Sans MS"/>
        </w:rPr>
        <w:t>-dépression généralisée, de la misère sexuelle obligatoire, etc. Naturellement, loin d’en conclure que la démocratie est intrinsèquement nihiliste, on invitera à lutter contre cette idéologie actuellement hégémonique en France.</w:t>
      </w:r>
    </w:p>
    <w:p w:rsidR="00E24CC6" w:rsidRPr="00E24CC6" w:rsidRDefault="00E24CC6" w:rsidP="00E24CC6">
      <w:pPr>
        <w:jc w:val="both"/>
        <w:rPr>
          <w:rFonts w:ascii="Comic Sans MS" w:hAnsi="Comic Sans MS"/>
        </w:rPr>
      </w:pPr>
      <w:r>
        <w:rPr>
          <w:rFonts w:ascii="Comic Sans MS" w:hAnsi="Comic Sans MS"/>
        </w:rPr>
        <w:t>------------------------------------------------------------------------------------------------</w:t>
      </w:r>
    </w:p>
    <w:p w:rsidR="00E24CC6" w:rsidRPr="00E24CC6" w:rsidRDefault="00E24CC6" w:rsidP="00E24CC6">
      <w:pPr>
        <w:jc w:val="both"/>
        <w:rPr>
          <w:rFonts w:ascii="Comic Sans MS" w:hAnsi="Comic Sans MS"/>
        </w:rPr>
      </w:pPr>
      <w:r w:rsidRPr="00E24CC6">
        <w:rPr>
          <w:rFonts w:ascii="Comic Sans MS" w:hAnsi="Comic Sans MS"/>
          <w:b/>
          <w:sz w:val="28"/>
          <w:szCs w:val="28"/>
        </w:rPr>
        <w:t>Etienne TASSIN</w:t>
      </w:r>
      <w:r>
        <w:rPr>
          <w:rFonts w:ascii="Comic Sans MS" w:hAnsi="Comic Sans MS"/>
        </w:rPr>
        <w:t xml:space="preserve"> L’action politique selon </w:t>
      </w:r>
      <w:r w:rsidRPr="00E24CC6">
        <w:rPr>
          <w:rFonts w:ascii="Comic Sans MS" w:hAnsi="Comic Sans MS"/>
        </w:rPr>
        <w:t>Hannah Arendt</w:t>
      </w:r>
    </w:p>
    <w:p w:rsidR="00E24CC6" w:rsidRPr="00E24CC6" w:rsidRDefault="00E24CC6" w:rsidP="00E24CC6">
      <w:pPr>
        <w:jc w:val="both"/>
        <w:rPr>
          <w:rFonts w:ascii="Comic Sans MS" w:hAnsi="Comic Sans MS"/>
        </w:rPr>
      </w:pPr>
      <w:r>
        <w:rPr>
          <w:rFonts w:ascii="Comic Sans MS" w:hAnsi="Comic Sans MS"/>
        </w:rPr>
        <w:t>Hannah Arendt (1906-1975)</w:t>
      </w:r>
    </w:p>
    <w:p w:rsidR="00E24CC6" w:rsidRPr="00E24CC6" w:rsidRDefault="00E24CC6" w:rsidP="00E24CC6">
      <w:pPr>
        <w:jc w:val="both"/>
        <w:rPr>
          <w:rFonts w:ascii="Comic Sans MS" w:hAnsi="Comic Sans MS"/>
        </w:rPr>
      </w:pPr>
      <w:r w:rsidRPr="00E24CC6">
        <w:rPr>
          <w:rFonts w:ascii="Comic Sans MS" w:hAnsi="Comic Sans MS"/>
        </w:rPr>
        <w:t xml:space="preserve">   Philosophe d’origine allemande. A 19 ans elle assiste aux cours de Heidegger, auquel elle sera passionnément liée pendant 5 ans. En 1929 elle soutient sous la direction de Karl Jaspers sa thèse sur Le Concept d’amour chez Saint Augustin. Juive, elle doit quitter l’Allemagne nazie, d’abord pour la France, puis pour les Etats-Unis, où elle vit difficilement avant d’obtenir, en 1951, la nationalité américaine et de pouvoir enseigner. Ses analyses du  phénomène totalitaire lui</w:t>
      </w:r>
      <w:r>
        <w:rPr>
          <w:rFonts w:ascii="Comic Sans MS" w:hAnsi="Comic Sans MS"/>
        </w:rPr>
        <w:t xml:space="preserve"> valent une notoriété mondiale.</w:t>
      </w:r>
    </w:p>
    <w:p w:rsidR="00E24CC6" w:rsidRPr="00E24CC6" w:rsidRDefault="00E24CC6" w:rsidP="00E24CC6">
      <w:pPr>
        <w:jc w:val="both"/>
        <w:rPr>
          <w:rFonts w:ascii="Comic Sans MS" w:hAnsi="Comic Sans MS"/>
        </w:rPr>
      </w:pPr>
      <w:r>
        <w:rPr>
          <w:rFonts w:ascii="Comic Sans MS" w:hAnsi="Comic Sans MS"/>
        </w:rPr>
        <w:t>Etienne Tassin :</w:t>
      </w:r>
    </w:p>
    <w:p w:rsidR="00E24CC6" w:rsidRPr="00E24CC6" w:rsidRDefault="00E24CC6" w:rsidP="00E24CC6">
      <w:pPr>
        <w:jc w:val="both"/>
        <w:rPr>
          <w:rFonts w:ascii="Comic Sans MS" w:hAnsi="Comic Sans MS"/>
        </w:rPr>
      </w:pPr>
      <w:r w:rsidRPr="00E24CC6">
        <w:rPr>
          <w:rFonts w:ascii="Comic Sans MS" w:hAnsi="Comic Sans MS"/>
        </w:rPr>
        <w:t xml:space="preserve">   Professeur de philosophie politique à l’Université de Paris VII et membre du Centre de Sociologie des Pratiques et représentations politiques de l’UFR de Sciences sociales</w:t>
      </w:r>
      <w:r>
        <w:rPr>
          <w:rFonts w:ascii="Comic Sans MS" w:hAnsi="Comic Sans MS"/>
        </w:rPr>
        <w:t>. Spécialiste de Hannah Arendt.</w:t>
      </w:r>
    </w:p>
    <w:p w:rsidR="00E24CC6" w:rsidRDefault="00E24CC6" w:rsidP="00E24CC6">
      <w:pPr>
        <w:jc w:val="both"/>
        <w:rPr>
          <w:rFonts w:ascii="Comic Sans MS" w:hAnsi="Comic Sans MS"/>
        </w:rPr>
      </w:pPr>
      <w:r w:rsidRPr="00E24CC6">
        <w:rPr>
          <w:rFonts w:ascii="Comic Sans MS" w:hAnsi="Comic Sans MS"/>
        </w:rPr>
        <w:t xml:space="preserve">A publié notamment : </w:t>
      </w:r>
    </w:p>
    <w:p w:rsidR="00E24CC6" w:rsidRPr="00E24CC6" w:rsidRDefault="00E24CC6" w:rsidP="00E24CC6">
      <w:pPr>
        <w:pStyle w:val="Paragraphedeliste"/>
        <w:numPr>
          <w:ilvl w:val="0"/>
          <w:numId w:val="3"/>
        </w:numPr>
        <w:jc w:val="both"/>
        <w:rPr>
          <w:rFonts w:ascii="Comic Sans MS" w:hAnsi="Comic Sans MS"/>
        </w:rPr>
      </w:pPr>
      <w:r w:rsidRPr="00E24CC6">
        <w:rPr>
          <w:rFonts w:ascii="Comic Sans MS" w:hAnsi="Comic Sans MS"/>
        </w:rPr>
        <w:t xml:space="preserve">Le trésor perdu. Hannah Arendt, l’intelligence de l’action politique (Payot, 1999) ; </w:t>
      </w:r>
    </w:p>
    <w:p w:rsidR="00E24CC6" w:rsidRPr="00E24CC6" w:rsidRDefault="00E24CC6" w:rsidP="00E24CC6">
      <w:pPr>
        <w:pStyle w:val="Paragraphedeliste"/>
        <w:numPr>
          <w:ilvl w:val="0"/>
          <w:numId w:val="3"/>
        </w:numPr>
        <w:jc w:val="both"/>
        <w:rPr>
          <w:rFonts w:ascii="Comic Sans MS" w:hAnsi="Comic Sans MS"/>
        </w:rPr>
      </w:pPr>
      <w:r w:rsidRPr="00E24CC6">
        <w:rPr>
          <w:rFonts w:ascii="Comic Sans MS" w:hAnsi="Comic Sans MS"/>
        </w:rPr>
        <w:t>Hannah Arendt : L’humaine condition politique (</w:t>
      </w:r>
      <w:proofErr w:type="spellStart"/>
      <w:r w:rsidRPr="00E24CC6">
        <w:rPr>
          <w:rFonts w:ascii="Comic Sans MS" w:hAnsi="Comic Sans MS"/>
        </w:rPr>
        <w:t>L’Harmattan</w:t>
      </w:r>
      <w:proofErr w:type="spellEnd"/>
      <w:r w:rsidRPr="00E24CC6">
        <w:rPr>
          <w:rFonts w:ascii="Comic Sans MS" w:hAnsi="Comic Sans MS"/>
        </w:rPr>
        <w:t xml:space="preserve">, 2001) ; </w:t>
      </w:r>
    </w:p>
    <w:p w:rsidR="00E24CC6" w:rsidRPr="00E24CC6" w:rsidRDefault="00E24CC6" w:rsidP="00E24CC6">
      <w:pPr>
        <w:pStyle w:val="Paragraphedeliste"/>
        <w:numPr>
          <w:ilvl w:val="0"/>
          <w:numId w:val="3"/>
        </w:numPr>
        <w:jc w:val="both"/>
        <w:rPr>
          <w:rFonts w:ascii="Comic Sans MS" w:hAnsi="Comic Sans MS"/>
        </w:rPr>
      </w:pPr>
      <w:r w:rsidRPr="00E24CC6">
        <w:rPr>
          <w:rFonts w:ascii="Comic Sans MS" w:hAnsi="Comic Sans MS"/>
        </w:rPr>
        <w:t xml:space="preserve">Un monde commun. Pour une </w:t>
      </w:r>
      <w:proofErr w:type="spellStart"/>
      <w:r w:rsidRPr="00E24CC6">
        <w:rPr>
          <w:rFonts w:ascii="Comic Sans MS" w:hAnsi="Comic Sans MS"/>
        </w:rPr>
        <w:t>cosmo-politique</w:t>
      </w:r>
      <w:proofErr w:type="spellEnd"/>
      <w:r w:rsidRPr="00E24CC6">
        <w:rPr>
          <w:rFonts w:ascii="Comic Sans MS" w:hAnsi="Comic Sans MS"/>
        </w:rPr>
        <w:t xml:space="preserve"> des conflits (Le Seuil, 2003) ; </w:t>
      </w:r>
    </w:p>
    <w:p w:rsidR="00E24CC6" w:rsidRPr="00E24CC6" w:rsidRDefault="00E24CC6" w:rsidP="00E24CC6">
      <w:pPr>
        <w:pStyle w:val="Paragraphedeliste"/>
        <w:numPr>
          <w:ilvl w:val="0"/>
          <w:numId w:val="3"/>
        </w:numPr>
        <w:jc w:val="both"/>
        <w:rPr>
          <w:rFonts w:ascii="Comic Sans MS" w:hAnsi="Comic Sans MS"/>
        </w:rPr>
      </w:pPr>
      <w:r w:rsidRPr="00E24CC6">
        <w:rPr>
          <w:rFonts w:ascii="Comic Sans MS" w:hAnsi="Comic Sans MS"/>
        </w:rPr>
        <w:t xml:space="preserve">Critique de la politique. Autour de Miguel </w:t>
      </w:r>
      <w:proofErr w:type="spellStart"/>
      <w:r w:rsidRPr="00E24CC6">
        <w:rPr>
          <w:rFonts w:ascii="Comic Sans MS" w:hAnsi="Comic Sans MS"/>
        </w:rPr>
        <w:t>Abensour</w:t>
      </w:r>
      <w:proofErr w:type="spellEnd"/>
      <w:r w:rsidRPr="00E24CC6">
        <w:rPr>
          <w:rFonts w:ascii="Comic Sans MS" w:hAnsi="Comic Sans MS"/>
        </w:rPr>
        <w:t xml:space="preserve"> (avec Anne </w:t>
      </w:r>
      <w:proofErr w:type="spellStart"/>
      <w:r w:rsidRPr="00E24CC6">
        <w:rPr>
          <w:rFonts w:ascii="Comic Sans MS" w:hAnsi="Comic Sans MS"/>
        </w:rPr>
        <w:t>Kupiec</w:t>
      </w:r>
      <w:proofErr w:type="spellEnd"/>
      <w:r w:rsidRPr="00E24CC6">
        <w:rPr>
          <w:rFonts w:ascii="Comic Sans MS" w:hAnsi="Comic Sans MS"/>
        </w:rPr>
        <w:t xml:space="preserve">, Sens &amp; Tonka, 2007). </w:t>
      </w:r>
    </w:p>
    <w:p w:rsidR="00E24CC6" w:rsidRPr="00E24CC6" w:rsidRDefault="00E24CC6" w:rsidP="00E24CC6">
      <w:pPr>
        <w:pStyle w:val="Paragraphedeliste"/>
        <w:numPr>
          <w:ilvl w:val="0"/>
          <w:numId w:val="3"/>
        </w:numPr>
        <w:jc w:val="both"/>
        <w:rPr>
          <w:rFonts w:ascii="Comic Sans MS" w:hAnsi="Comic Sans MS"/>
        </w:rPr>
      </w:pPr>
      <w:r w:rsidRPr="00E24CC6">
        <w:rPr>
          <w:rFonts w:ascii="Comic Sans MS" w:hAnsi="Comic Sans MS"/>
        </w:rPr>
        <w:t xml:space="preserve">A paraître: Crises de l’Etat-nation, Pensées alternatives. Hannah Arendt cent ans après sa naissance (Sens &amp; Tonka, automne 2007). </w:t>
      </w:r>
    </w:p>
    <w:p w:rsidR="00E24CC6" w:rsidRPr="00E24CC6" w:rsidRDefault="00E24CC6" w:rsidP="00E24CC6">
      <w:pPr>
        <w:jc w:val="both"/>
        <w:rPr>
          <w:rFonts w:ascii="Comic Sans MS" w:hAnsi="Comic Sans MS"/>
        </w:rPr>
      </w:pPr>
    </w:p>
    <w:p w:rsidR="00E24CC6" w:rsidRPr="00E24CC6" w:rsidRDefault="00E24CC6" w:rsidP="00E24CC6">
      <w:pPr>
        <w:jc w:val="both"/>
        <w:rPr>
          <w:rFonts w:ascii="Comic Sans MS" w:hAnsi="Comic Sans MS"/>
        </w:rPr>
      </w:pPr>
      <w:r>
        <w:rPr>
          <w:rFonts w:ascii="Comic Sans MS" w:hAnsi="Comic Sans MS"/>
        </w:rPr>
        <w:t>Sa conférence :</w:t>
      </w:r>
    </w:p>
    <w:p w:rsidR="00E24CC6" w:rsidRPr="00E24CC6" w:rsidRDefault="00E24CC6" w:rsidP="00E24CC6">
      <w:pPr>
        <w:jc w:val="both"/>
        <w:rPr>
          <w:rFonts w:ascii="Comic Sans MS" w:hAnsi="Comic Sans MS"/>
        </w:rPr>
      </w:pPr>
      <w:r w:rsidRPr="00E24CC6">
        <w:rPr>
          <w:rFonts w:ascii="Comic Sans MS" w:hAnsi="Comic Sans MS"/>
        </w:rPr>
        <w:t xml:space="preserve">   Arendt nous invite à penser l’action politique à la fois dans sa radicalité et selon une orientation non conventionnelle. En effet, prise radicalement, l’action politique n’est ni une lutte pour le pouvoir, ni un exercice du pouvoir entendu comme domination, ni la gestion ou l’administration du social, pas même l’organisation de la vie collective. Elle est l’agir ensemble d’un « peuple » d’acteurs s’émancipant par son action concertée de toutes les formes de tutelle et donnant ainsi naissance à une communauté d’acteurs (et </w:t>
      </w:r>
      <w:r w:rsidRPr="00E24CC6">
        <w:rPr>
          <w:rFonts w:ascii="Comic Sans MS" w:hAnsi="Comic Sans MS"/>
        </w:rPr>
        <w:lastRenderedPageBreak/>
        <w:t xml:space="preserve">non de sujets) fragile, précaire et éphémère. Le « paradigme » de cette action politique est l’action révolutionnaire (l’analyse </w:t>
      </w:r>
      <w:proofErr w:type="spellStart"/>
      <w:r w:rsidRPr="00E24CC6">
        <w:rPr>
          <w:rFonts w:ascii="Comic Sans MS" w:hAnsi="Comic Sans MS"/>
        </w:rPr>
        <w:t>arendtienne</w:t>
      </w:r>
      <w:proofErr w:type="spellEnd"/>
      <w:r w:rsidRPr="00E24CC6">
        <w:rPr>
          <w:rFonts w:ascii="Comic Sans MS" w:hAnsi="Comic Sans MS"/>
        </w:rPr>
        <w:t xml:space="preserve"> de la révolution hongroise de 1956 illustrera ce point). A partir de là on examinera aussi les formes de luttes politiques propres aux sociétés démocratiques, telles les actions menées en faveur des « </w:t>
      </w:r>
      <w:r w:rsidRPr="00E24CC6">
        <w:rPr>
          <w:rFonts w:ascii="Comic Sans MS" w:hAnsi="Comic Sans MS"/>
        </w:rPr>
        <w:t>sans-papiers</w:t>
      </w:r>
      <w:r w:rsidRPr="00E24CC6">
        <w:rPr>
          <w:rFonts w:ascii="Comic Sans MS" w:hAnsi="Comic Sans MS"/>
        </w:rPr>
        <w:t xml:space="preserve"> ».</w:t>
      </w:r>
    </w:p>
    <w:p w:rsidR="00E24CC6" w:rsidRPr="00E24CC6" w:rsidRDefault="00E24CC6" w:rsidP="00E24CC6">
      <w:pPr>
        <w:jc w:val="both"/>
        <w:rPr>
          <w:rFonts w:ascii="Comic Sans MS" w:hAnsi="Comic Sans MS"/>
        </w:rPr>
      </w:pPr>
    </w:p>
    <w:p w:rsidR="00FB5BE5" w:rsidRPr="00E24CC6" w:rsidRDefault="00FB5BE5" w:rsidP="00E24CC6">
      <w:pPr>
        <w:jc w:val="both"/>
        <w:rPr>
          <w:rFonts w:ascii="Comic Sans MS" w:hAnsi="Comic Sans MS"/>
        </w:rPr>
      </w:pPr>
      <w:bookmarkStart w:id="0" w:name="_GoBack"/>
      <w:bookmarkEnd w:id="0"/>
    </w:p>
    <w:sectPr w:rsidR="00FB5BE5" w:rsidRPr="00E24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52A2"/>
    <w:multiLevelType w:val="hybridMultilevel"/>
    <w:tmpl w:val="9E768372"/>
    <w:lvl w:ilvl="0" w:tplc="0540A55E">
      <w:numFmt w:val="bullet"/>
      <w:lvlText w:val="-"/>
      <w:lvlJc w:val="left"/>
      <w:pPr>
        <w:ind w:left="108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D756DB"/>
    <w:multiLevelType w:val="hybridMultilevel"/>
    <w:tmpl w:val="86ECB2A4"/>
    <w:lvl w:ilvl="0" w:tplc="0540A55E">
      <w:numFmt w:val="bullet"/>
      <w:lvlText w:val="-"/>
      <w:lvlJc w:val="left"/>
      <w:pPr>
        <w:ind w:left="1080" w:hanging="360"/>
      </w:pPr>
      <w:rPr>
        <w:rFonts w:ascii="Comic Sans MS" w:eastAsiaTheme="minorHAnsi" w:hAnsi="Comic Sans M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44B061BD"/>
    <w:multiLevelType w:val="hybridMultilevel"/>
    <w:tmpl w:val="C7D4B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C6"/>
    <w:rsid w:val="00B97BB5"/>
    <w:rsid w:val="00E24CC6"/>
    <w:rsid w:val="00FB5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4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4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642</Words>
  <Characters>3534</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1</cp:revision>
  <dcterms:created xsi:type="dcterms:W3CDTF">2023-02-04T16:52:00Z</dcterms:created>
  <dcterms:modified xsi:type="dcterms:W3CDTF">2023-02-04T16:58:00Z</dcterms:modified>
</cp:coreProperties>
</file>