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57" w:rsidRPr="00573157" w:rsidRDefault="00573157" w:rsidP="0057315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Les conférences en détail 2000 2001</w:t>
      </w:r>
    </w:p>
    <w:p w:rsidR="00573157" w:rsidRDefault="00573157" w:rsidP="00573157">
      <w:pPr>
        <w:jc w:val="both"/>
        <w:rPr>
          <w:rFonts w:ascii="Comic Sans MS" w:hAnsi="Comic Sans MS"/>
        </w:rPr>
      </w:pPr>
      <w:r w:rsidRPr="00573157">
        <w:rPr>
          <w:rFonts w:ascii="Comic Sans MS" w:hAnsi="Comic Sans MS"/>
          <w:b/>
          <w:sz w:val="28"/>
          <w:szCs w:val="28"/>
        </w:rPr>
        <w:t>Rada IVEKOVIĆ</w:t>
      </w:r>
      <w:r>
        <w:rPr>
          <w:rFonts w:ascii="Comic Sans MS" w:hAnsi="Comic Sans MS"/>
        </w:rPr>
        <w:t xml:space="preserve"> Que veut dire religion ?</w:t>
      </w:r>
    </w:p>
    <w:p w:rsidR="00573157" w:rsidRPr="00573157" w:rsidRDefault="00573157" w:rsidP="0057315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conférencière :</w:t>
      </w:r>
    </w:p>
    <w:p w:rsidR="00573157" w:rsidRPr="00573157" w:rsidRDefault="00573157" w:rsidP="00573157">
      <w:pPr>
        <w:jc w:val="both"/>
        <w:rPr>
          <w:rFonts w:ascii="Comic Sans MS" w:hAnsi="Comic Sans MS"/>
        </w:rPr>
      </w:pPr>
      <w:r w:rsidRPr="00573157">
        <w:rPr>
          <w:rFonts w:ascii="Comic Sans MS" w:hAnsi="Comic Sans MS"/>
        </w:rPr>
        <w:t xml:space="preserve">   Rada IVEKOVIĆ est philosophe et écrivain. Née à Zagreb elle a étudié la philosophie à Belgrade et la philosophie orientale à Dehli. Elle a enseigné aux Universités de Zagreb et de Paris VIII-Saint-Denis. Elle est aujourd’hui Professeure à l’Université Jean-Monnet de Saint-Etienne et Directrice de programme au Collège international de philosophie. Elle a publié de nombreux textes en philosophie indienne, occidentale et comparative, en philosophie politique, théorie féministe et critique littéraire ainsi que de nombreux essais. Ses recherches récentes portent sur la na</w:t>
      </w:r>
      <w:r>
        <w:rPr>
          <w:rFonts w:ascii="Comic Sans MS" w:hAnsi="Comic Sans MS"/>
        </w:rPr>
        <w:t>tion, le genre et la partition.</w:t>
      </w:r>
    </w:p>
    <w:p w:rsidR="00573157" w:rsidRPr="00573157" w:rsidRDefault="00573157" w:rsidP="00573157">
      <w:pPr>
        <w:jc w:val="both"/>
        <w:rPr>
          <w:rFonts w:ascii="Comic Sans MS" w:hAnsi="Comic Sans MS"/>
        </w:rPr>
      </w:pPr>
      <w:r w:rsidRPr="00573157">
        <w:rPr>
          <w:rFonts w:ascii="Comic Sans MS" w:hAnsi="Comic Sans MS"/>
        </w:rPr>
        <w:t>Ses</w:t>
      </w:r>
      <w:r>
        <w:rPr>
          <w:rFonts w:ascii="Comic Sans MS" w:hAnsi="Comic Sans MS"/>
        </w:rPr>
        <w:t xml:space="preserve"> ouvrages en français :</w:t>
      </w:r>
    </w:p>
    <w:p w:rsidR="00573157" w:rsidRPr="00573157" w:rsidRDefault="00573157" w:rsidP="00573157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573157">
        <w:rPr>
          <w:rFonts w:ascii="Comic Sans MS" w:hAnsi="Comic Sans MS"/>
        </w:rPr>
        <w:t xml:space="preserve">Orients : critique de la raison postmoderne (Blandin, 1992), </w:t>
      </w:r>
    </w:p>
    <w:p w:rsidR="00573157" w:rsidRPr="00573157" w:rsidRDefault="00573157" w:rsidP="00573157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573157">
        <w:rPr>
          <w:rFonts w:ascii="Comic Sans MS" w:hAnsi="Comic Sans MS"/>
        </w:rPr>
        <w:t xml:space="preserve">Hommage à Sarajevo. Destruction de l’image/Image de la destruction (édité par R. </w:t>
      </w:r>
      <w:proofErr w:type="spellStart"/>
      <w:r w:rsidRPr="00573157">
        <w:rPr>
          <w:rFonts w:ascii="Comic Sans MS" w:hAnsi="Comic Sans MS"/>
        </w:rPr>
        <w:t>Ivekovic</w:t>
      </w:r>
      <w:proofErr w:type="spellEnd"/>
      <w:r w:rsidRPr="00573157">
        <w:rPr>
          <w:rFonts w:ascii="Comic Sans MS" w:hAnsi="Comic Sans MS"/>
        </w:rPr>
        <w:t xml:space="preserve"> et </w:t>
      </w:r>
      <w:proofErr w:type="spellStart"/>
      <w:r w:rsidRPr="00573157">
        <w:rPr>
          <w:rFonts w:ascii="Comic Sans MS" w:hAnsi="Comic Sans MS"/>
        </w:rPr>
        <w:t>Dunja</w:t>
      </w:r>
      <w:proofErr w:type="spellEnd"/>
      <w:r w:rsidRPr="00573157">
        <w:rPr>
          <w:rFonts w:ascii="Comic Sans MS" w:hAnsi="Comic Sans MS"/>
        </w:rPr>
        <w:t xml:space="preserve"> </w:t>
      </w:r>
      <w:proofErr w:type="spellStart"/>
      <w:r w:rsidRPr="00573157">
        <w:rPr>
          <w:rFonts w:ascii="Comic Sans MS" w:hAnsi="Comic Sans MS"/>
        </w:rPr>
        <w:t>Blazevic</w:t>
      </w:r>
      <w:proofErr w:type="spellEnd"/>
      <w:r w:rsidRPr="00573157">
        <w:rPr>
          <w:rFonts w:ascii="Comic Sans MS" w:hAnsi="Comic Sans MS"/>
        </w:rPr>
        <w:t xml:space="preserve">, </w:t>
      </w:r>
      <w:proofErr w:type="spellStart"/>
      <w:r w:rsidRPr="00573157">
        <w:rPr>
          <w:rFonts w:ascii="Comic Sans MS" w:hAnsi="Comic Sans MS"/>
        </w:rPr>
        <w:t>L’Harmattan</w:t>
      </w:r>
      <w:proofErr w:type="spellEnd"/>
      <w:r w:rsidRPr="00573157">
        <w:rPr>
          <w:rFonts w:ascii="Comic Sans MS" w:hAnsi="Comic Sans MS"/>
        </w:rPr>
        <w:t xml:space="preserve">, 1996), </w:t>
      </w:r>
    </w:p>
    <w:p w:rsidR="00573157" w:rsidRPr="00573157" w:rsidRDefault="00573157" w:rsidP="00573157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573157">
        <w:rPr>
          <w:rFonts w:ascii="Comic Sans MS" w:hAnsi="Comic Sans MS"/>
        </w:rPr>
        <w:t xml:space="preserve">Le Sexe de la philosophie. Jean-François </w:t>
      </w:r>
      <w:proofErr w:type="spellStart"/>
      <w:r w:rsidRPr="00573157">
        <w:rPr>
          <w:rFonts w:ascii="Comic Sans MS" w:hAnsi="Comic Sans MS"/>
        </w:rPr>
        <w:t>Lyotard</w:t>
      </w:r>
      <w:proofErr w:type="spellEnd"/>
      <w:r w:rsidRPr="00573157">
        <w:rPr>
          <w:rFonts w:ascii="Comic Sans MS" w:hAnsi="Comic Sans MS"/>
        </w:rPr>
        <w:t xml:space="preserve"> et le féminin (</w:t>
      </w:r>
      <w:proofErr w:type="spellStart"/>
      <w:r w:rsidRPr="00573157">
        <w:rPr>
          <w:rFonts w:ascii="Comic Sans MS" w:hAnsi="Comic Sans MS"/>
        </w:rPr>
        <w:t>L’Harmattan</w:t>
      </w:r>
      <w:proofErr w:type="spellEnd"/>
      <w:r w:rsidRPr="00573157">
        <w:rPr>
          <w:rFonts w:ascii="Comic Sans MS" w:hAnsi="Comic Sans MS"/>
        </w:rPr>
        <w:t xml:space="preserve">, 1997), </w:t>
      </w:r>
    </w:p>
    <w:p w:rsidR="00573157" w:rsidRPr="00573157" w:rsidRDefault="00573157" w:rsidP="00573157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573157">
        <w:rPr>
          <w:rFonts w:ascii="Comic Sans MS" w:hAnsi="Comic Sans MS"/>
        </w:rPr>
        <w:t xml:space="preserve">Guérir de la guerre et juger la paix (ouvrage </w:t>
      </w:r>
      <w:proofErr w:type="spellStart"/>
      <w:r w:rsidRPr="00573157">
        <w:rPr>
          <w:rFonts w:ascii="Comic Sans MS" w:hAnsi="Comic Sans MS"/>
        </w:rPr>
        <w:t>co-dirigé</w:t>
      </w:r>
      <w:proofErr w:type="spellEnd"/>
      <w:r w:rsidRPr="00573157">
        <w:rPr>
          <w:rFonts w:ascii="Comic Sans MS" w:hAnsi="Comic Sans MS"/>
        </w:rPr>
        <w:t xml:space="preserve"> avec Jacques Poulain, </w:t>
      </w:r>
      <w:proofErr w:type="spellStart"/>
      <w:r w:rsidRPr="00573157">
        <w:rPr>
          <w:rFonts w:ascii="Comic Sans MS" w:hAnsi="Comic Sans MS"/>
        </w:rPr>
        <w:t>L’Harmattan</w:t>
      </w:r>
      <w:proofErr w:type="spellEnd"/>
      <w:r w:rsidRPr="00573157">
        <w:rPr>
          <w:rFonts w:ascii="Comic Sans MS" w:hAnsi="Comic Sans MS"/>
        </w:rPr>
        <w:t xml:space="preserve">, 1998), Bénarès. </w:t>
      </w:r>
    </w:p>
    <w:p w:rsidR="00573157" w:rsidRPr="00573157" w:rsidRDefault="00573157" w:rsidP="00573157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573157">
        <w:rPr>
          <w:rFonts w:ascii="Comic Sans MS" w:hAnsi="Comic Sans MS"/>
        </w:rPr>
        <w:t>Essai d’Inde (</w:t>
      </w:r>
      <w:proofErr w:type="spellStart"/>
      <w:r w:rsidRPr="00573157">
        <w:rPr>
          <w:rFonts w:ascii="Comic Sans MS" w:hAnsi="Comic Sans MS"/>
        </w:rPr>
        <w:t>L’Harmattan</w:t>
      </w:r>
      <w:proofErr w:type="spellEnd"/>
      <w:r w:rsidRPr="00573157">
        <w:rPr>
          <w:rFonts w:ascii="Comic Sans MS" w:hAnsi="Comic Sans MS"/>
        </w:rPr>
        <w:t xml:space="preserve">, 2001), </w:t>
      </w:r>
    </w:p>
    <w:p w:rsidR="00573157" w:rsidRPr="00573157" w:rsidRDefault="00573157" w:rsidP="00573157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573157">
        <w:rPr>
          <w:rFonts w:ascii="Comic Sans MS" w:hAnsi="Comic Sans MS"/>
        </w:rPr>
        <w:t xml:space="preserve">Dame nation. Nation et différence des sexes (Ravenne, Longo </w:t>
      </w:r>
      <w:proofErr w:type="spellStart"/>
      <w:r w:rsidRPr="00573157">
        <w:rPr>
          <w:rFonts w:ascii="Comic Sans MS" w:hAnsi="Comic Sans MS"/>
        </w:rPr>
        <w:t>Editore</w:t>
      </w:r>
      <w:proofErr w:type="spellEnd"/>
      <w:r w:rsidRPr="00573157">
        <w:rPr>
          <w:rFonts w:ascii="Comic Sans MS" w:hAnsi="Comic Sans MS"/>
        </w:rPr>
        <w:t xml:space="preserve">, 2003), </w:t>
      </w:r>
    </w:p>
    <w:p w:rsidR="00573157" w:rsidRPr="00573157" w:rsidRDefault="00573157" w:rsidP="00573157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573157">
        <w:rPr>
          <w:rFonts w:ascii="Comic Sans MS" w:hAnsi="Comic Sans MS"/>
        </w:rPr>
        <w:t xml:space="preserve">Le Sexe de la nation (Léo </w:t>
      </w:r>
      <w:proofErr w:type="spellStart"/>
      <w:r w:rsidRPr="00573157">
        <w:rPr>
          <w:rFonts w:ascii="Comic Sans MS" w:hAnsi="Comic Sans MS"/>
        </w:rPr>
        <w:t>Scheer</w:t>
      </w:r>
      <w:proofErr w:type="spellEnd"/>
      <w:r w:rsidRPr="00573157">
        <w:rPr>
          <w:rFonts w:ascii="Comic Sans MS" w:hAnsi="Comic Sans MS"/>
        </w:rPr>
        <w:t>, 2003).</w:t>
      </w:r>
    </w:p>
    <w:p w:rsidR="00573157" w:rsidRPr="00573157" w:rsidRDefault="00573157" w:rsidP="00573157">
      <w:pPr>
        <w:jc w:val="both"/>
        <w:rPr>
          <w:rFonts w:ascii="Comic Sans MS" w:hAnsi="Comic Sans MS"/>
        </w:rPr>
      </w:pPr>
    </w:p>
    <w:p w:rsidR="00573157" w:rsidRPr="00573157" w:rsidRDefault="00573157" w:rsidP="0057315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Sa conférence :</w:t>
      </w:r>
    </w:p>
    <w:p w:rsidR="00573157" w:rsidRPr="00573157" w:rsidRDefault="00573157" w:rsidP="00573157">
      <w:pPr>
        <w:jc w:val="both"/>
        <w:rPr>
          <w:rFonts w:ascii="Comic Sans MS" w:hAnsi="Comic Sans MS"/>
        </w:rPr>
      </w:pPr>
      <w:r w:rsidRPr="00573157">
        <w:rPr>
          <w:rFonts w:ascii="Comic Sans MS" w:hAnsi="Comic Sans MS"/>
        </w:rPr>
        <w:t xml:space="preserve">  « Orient-Occident », « Est-Ouest » sont des formes de partage de la raison. La dichotomie est asymétrique. </w:t>
      </w:r>
      <w:proofErr w:type="spellStart"/>
      <w:r w:rsidRPr="00573157">
        <w:rPr>
          <w:rFonts w:ascii="Comic Sans MS" w:hAnsi="Comic Sans MS"/>
        </w:rPr>
        <w:t>Fethi</w:t>
      </w:r>
      <w:proofErr w:type="spellEnd"/>
      <w:r w:rsidRPr="00573157">
        <w:rPr>
          <w:rFonts w:ascii="Comic Sans MS" w:hAnsi="Comic Sans MS"/>
        </w:rPr>
        <w:t xml:space="preserve">  </w:t>
      </w:r>
      <w:proofErr w:type="spellStart"/>
      <w:r w:rsidRPr="00573157">
        <w:rPr>
          <w:rFonts w:ascii="Comic Sans MS" w:hAnsi="Comic Sans MS"/>
        </w:rPr>
        <w:t>Benslama</w:t>
      </w:r>
      <w:proofErr w:type="spellEnd"/>
      <w:r w:rsidRPr="00573157">
        <w:rPr>
          <w:rFonts w:ascii="Comic Sans MS" w:hAnsi="Comic Sans MS"/>
        </w:rPr>
        <w:t xml:space="preserve"> le disait déjà dans Une fiction troublante. De l’origine en partage (L’Aube, 1994) : « L’Occident n’est pas seulement un dehors pour les musulmans, mais le terme actuel d’un conflit interne. L’inverse est tout aussi vrai, mais selon un autre rapport, certainement plus ancien. » Nous allons nous intéresser à ces questions en ne nous limitant pas à telle ou telle religion.  Sous le titre fourre-tout de religion on a rangé toute sorte de phénomènes disparates, il n’y a pas une et bonne définition définitive de ce terme.  Cela saute aux yeux en particulier quand on veut évaluer en tant que religion – à partir de notre compréhension occidentale du concept – le bouddhisme : une « religion » mais athée, une philosophie qui déduit le néant sans le poser ou l’affirmer. Ce qui n’empêche pas tout un éventail de pratiques cultuelles et </w:t>
      </w:r>
      <w:r w:rsidRPr="00573157">
        <w:rPr>
          <w:rFonts w:ascii="Comic Sans MS" w:hAnsi="Comic Sans MS"/>
        </w:rPr>
        <w:lastRenderedPageBreak/>
        <w:t>culturelles que nous rangerions dans la religion, mais qui sont de l’ordre de la coutume ou d’un « choix de civilisation ». La religion, en gros, va de la croyance et de ses formes d’organisation institutionnelles ou alternatives, clergé interposé ou non, liens au pouvoir ou non ; à la nationalité, à la culture, à la philosophie, à un mode de vie, à une thérapie, à un rapport au pouvoir.  . Prise de notes en conférence</w:t>
      </w:r>
    </w:p>
    <w:p w:rsidR="00573157" w:rsidRDefault="00573157" w:rsidP="0057315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----------------------------------------------------------------------------------------------</w:t>
      </w:r>
    </w:p>
    <w:p w:rsidR="00573157" w:rsidRPr="00573157" w:rsidRDefault="00573157" w:rsidP="00573157">
      <w:pPr>
        <w:jc w:val="both"/>
        <w:rPr>
          <w:rFonts w:ascii="Comic Sans MS" w:hAnsi="Comic Sans MS"/>
        </w:rPr>
      </w:pPr>
      <w:r w:rsidRPr="00573157">
        <w:rPr>
          <w:rFonts w:ascii="Comic Sans MS" w:hAnsi="Comic Sans MS"/>
          <w:b/>
          <w:sz w:val="28"/>
          <w:szCs w:val="28"/>
        </w:rPr>
        <w:t xml:space="preserve">Etienne </w:t>
      </w:r>
      <w:proofErr w:type="spellStart"/>
      <w:r w:rsidRPr="00573157">
        <w:rPr>
          <w:rFonts w:ascii="Comic Sans MS" w:hAnsi="Comic Sans MS"/>
          <w:b/>
          <w:sz w:val="28"/>
          <w:szCs w:val="28"/>
        </w:rPr>
        <w:t>Balibar</w:t>
      </w:r>
      <w:proofErr w:type="spellEnd"/>
      <w:r w:rsidRPr="00573157">
        <w:rPr>
          <w:rFonts w:ascii="Comic Sans MS" w:hAnsi="Comic Sans MS"/>
          <w:b/>
          <w:sz w:val="28"/>
          <w:szCs w:val="28"/>
        </w:rPr>
        <w:t xml:space="preserve"> </w:t>
      </w:r>
      <w:r w:rsidRPr="00573157">
        <w:rPr>
          <w:rFonts w:ascii="Comic Sans MS" w:hAnsi="Comic Sans MS"/>
          <w:b/>
          <w:sz w:val="28"/>
          <w:szCs w:val="28"/>
        </w:rPr>
        <w:t xml:space="preserve">Jean </w:t>
      </w:r>
      <w:proofErr w:type="spellStart"/>
      <w:r w:rsidRPr="00573157">
        <w:rPr>
          <w:rFonts w:ascii="Comic Sans MS" w:hAnsi="Comic Sans MS"/>
          <w:b/>
          <w:sz w:val="28"/>
          <w:szCs w:val="28"/>
        </w:rPr>
        <w:t>Birnbaum</w:t>
      </w:r>
      <w:proofErr w:type="spellEnd"/>
      <w:r>
        <w:rPr>
          <w:rFonts w:ascii="Comic Sans MS" w:hAnsi="Comic Sans MS"/>
        </w:rPr>
        <w:t xml:space="preserve"> Où en est le droit de cité aujourd’hui ?</w:t>
      </w:r>
    </w:p>
    <w:p w:rsidR="00573157" w:rsidRPr="00573157" w:rsidRDefault="00573157" w:rsidP="00573157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Les conférenciers :</w:t>
      </w:r>
    </w:p>
    <w:p w:rsidR="00573157" w:rsidRDefault="00573157" w:rsidP="00573157">
      <w:pPr>
        <w:jc w:val="both"/>
        <w:rPr>
          <w:rFonts w:ascii="Comic Sans MS" w:hAnsi="Comic Sans MS"/>
        </w:rPr>
      </w:pPr>
      <w:r w:rsidRPr="00573157">
        <w:rPr>
          <w:rFonts w:ascii="Comic Sans MS" w:hAnsi="Comic Sans MS"/>
        </w:rPr>
        <w:t xml:space="preserve">   Etienne </w:t>
      </w:r>
      <w:proofErr w:type="spellStart"/>
      <w:r w:rsidRPr="00573157">
        <w:rPr>
          <w:rFonts w:ascii="Comic Sans MS" w:hAnsi="Comic Sans MS"/>
        </w:rPr>
        <w:t>Balibar</w:t>
      </w:r>
      <w:proofErr w:type="spellEnd"/>
      <w:r w:rsidRPr="00573157">
        <w:rPr>
          <w:rFonts w:ascii="Comic Sans MS" w:hAnsi="Comic Sans MS"/>
        </w:rPr>
        <w:t xml:space="preserve"> est professeur émérite de philosophie politique et morale à l’université de Paris X – Nanterre, professeur à l’université d’Irvine en Californie et co-directeur de la collection « Pratiques théoriques » aux PUF. Il a publié, notamment : </w:t>
      </w:r>
    </w:p>
    <w:p w:rsidR="00573157" w:rsidRPr="00573157" w:rsidRDefault="00573157" w:rsidP="00573157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</w:rPr>
      </w:pPr>
      <w:r w:rsidRPr="00573157">
        <w:rPr>
          <w:rFonts w:ascii="Comic Sans MS" w:hAnsi="Comic Sans MS"/>
        </w:rPr>
        <w:t xml:space="preserve">Race, nation, classe. Les identités ambiguës (avec </w:t>
      </w:r>
      <w:proofErr w:type="spellStart"/>
      <w:r w:rsidRPr="00573157">
        <w:rPr>
          <w:rFonts w:ascii="Comic Sans MS" w:hAnsi="Comic Sans MS"/>
        </w:rPr>
        <w:t>Immanuel</w:t>
      </w:r>
      <w:proofErr w:type="spellEnd"/>
      <w:r w:rsidRPr="00573157">
        <w:rPr>
          <w:rFonts w:ascii="Comic Sans MS" w:hAnsi="Comic Sans MS"/>
        </w:rPr>
        <w:t xml:space="preserve"> </w:t>
      </w:r>
      <w:proofErr w:type="spellStart"/>
      <w:r w:rsidRPr="00573157">
        <w:rPr>
          <w:rFonts w:ascii="Comic Sans MS" w:hAnsi="Comic Sans MS"/>
        </w:rPr>
        <w:t>Wallerstein</w:t>
      </w:r>
      <w:proofErr w:type="spellEnd"/>
      <w:r w:rsidRPr="00573157">
        <w:rPr>
          <w:rFonts w:ascii="Comic Sans MS" w:hAnsi="Comic Sans MS"/>
        </w:rPr>
        <w:t xml:space="preserve">, La Découverte, 1988), </w:t>
      </w:r>
    </w:p>
    <w:p w:rsidR="00573157" w:rsidRPr="00573157" w:rsidRDefault="00573157" w:rsidP="00573157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</w:rPr>
      </w:pPr>
      <w:r w:rsidRPr="00573157">
        <w:rPr>
          <w:rFonts w:ascii="Comic Sans MS" w:hAnsi="Comic Sans MS"/>
        </w:rPr>
        <w:t xml:space="preserve">Droit de cité. Culture et politique en démocratie (l’Aube, 1998), </w:t>
      </w:r>
    </w:p>
    <w:p w:rsidR="00573157" w:rsidRPr="00573157" w:rsidRDefault="00573157" w:rsidP="00573157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</w:rPr>
      </w:pPr>
      <w:r w:rsidRPr="00573157">
        <w:rPr>
          <w:rFonts w:ascii="Comic Sans MS" w:hAnsi="Comic Sans MS"/>
        </w:rPr>
        <w:t xml:space="preserve">La crainte des masses. Politique et philosophie avant et après Marx (Galilée, 1999), </w:t>
      </w:r>
    </w:p>
    <w:p w:rsidR="00573157" w:rsidRPr="00573157" w:rsidRDefault="00573157" w:rsidP="00573157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</w:rPr>
      </w:pPr>
      <w:r w:rsidRPr="00573157">
        <w:rPr>
          <w:rFonts w:ascii="Comic Sans MS" w:hAnsi="Comic Sans MS"/>
        </w:rPr>
        <w:t>Citoyen Sujet. Essais d’anthropologie philosophique (PUF, 2006)</w:t>
      </w:r>
    </w:p>
    <w:p w:rsidR="00573157" w:rsidRPr="00573157" w:rsidRDefault="00573157" w:rsidP="00573157">
      <w:pPr>
        <w:jc w:val="both"/>
        <w:rPr>
          <w:rFonts w:ascii="Comic Sans MS" w:hAnsi="Comic Sans MS"/>
        </w:rPr>
      </w:pPr>
    </w:p>
    <w:p w:rsidR="00573157" w:rsidRDefault="00573157" w:rsidP="00573157">
      <w:pPr>
        <w:jc w:val="both"/>
        <w:rPr>
          <w:rFonts w:ascii="Comic Sans MS" w:hAnsi="Comic Sans MS"/>
        </w:rPr>
      </w:pPr>
      <w:r w:rsidRPr="00573157">
        <w:rPr>
          <w:rFonts w:ascii="Comic Sans MS" w:hAnsi="Comic Sans MS"/>
        </w:rPr>
        <w:t xml:space="preserve"> Jean </w:t>
      </w:r>
      <w:proofErr w:type="spellStart"/>
      <w:r w:rsidRPr="00573157">
        <w:rPr>
          <w:rFonts w:ascii="Comic Sans MS" w:hAnsi="Comic Sans MS"/>
        </w:rPr>
        <w:t>Birnbaum</w:t>
      </w:r>
      <w:proofErr w:type="spellEnd"/>
      <w:r w:rsidRPr="00573157">
        <w:rPr>
          <w:rFonts w:ascii="Comic Sans MS" w:hAnsi="Comic Sans MS"/>
        </w:rPr>
        <w:t xml:space="preserve"> est journaliste au Monde. Il a également travaillé pour France Culture, où il a notamment collaboré à l’émission « Staccato ». On lui doit le dernier entretien avec le philosophe Jacques Derrida : Apprendre à vivre enfin (Galilée/Le Monde, 2005).Il a publié chez Stock en 2005 </w:t>
      </w:r>
    </w:p>
    <w:p w:rsidR="00573157" w:rsidRPr="00573157" w:rsidRDefault="00573157" w:rsidP="00573157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</w:rPr>
      </w:pPr>
      <w:r w:rsidRPr="00573157">
        <w:rPr>
          <w:rFonts w:ascii="Comic Sans MS" w:hAnsi="Comic Sans MS"/>
        </w:rPr>
        <w:t xml:space="preserve">Leur jeunesse et la nôtre. L’espérance révolutionnaire au fil des générations </w:t>
      </w:r>
    </w:p>
    <w:p w:rsidR="00573157" w:rsidRPr="00573157" w:rsidRDefault="00573157" w:rsidP="00573157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</w:rPr>
      </w:pPr>
      <w:r w:rsidRPr="00573157">
        <w:rPr>
          <w:rFonts w:ascii="Comic Sans MS" w:hAnsi="Comic Sans MS"/>
        </w:rPr>
        <w:t>et en 2006, avec Raphaël Chevènement,  La face visible de l’homme en noir, décryptage de l’émission de Thierry Ardisson  Tout le monde en parle.</w:t>
      </w:r>
    </w:p>
    <w:p w:rsidR="00573157" w:rsidRPr="00573157" w:rsidRDefault="00573157" w:rsidP="00573157">
      <w:pPr>
        <w:jc w:val="both"/>
        <w:rPr>
          <w:rFonts w:ascii="Comic Sans MS" w:hAnsi="Comic Sans MS"/>
        </w:rPr>
      </w:pPr>
    </w:p>
    <w:p w:rsidR="00573157" w:rsidRPr="00573157" w:rsidRDefault="00573157" w:rsidP="00573157">
      <w:pPr>
        <w:jc w:val="both"/>
        <w:rPr>
          <w:rFonts w:ascii="Comic Sans MS" w:hAnsi="Comic Sans MS"/>
        </w:rPr>
      </w:pPr>
      <w:r w:rsidRPr="00573157">
        <w:rPr>
          <w:rFonts w:ascii="Comic Sans MS" w:hAnsi="Comic Sans MS"/>
        </w:rPr>
        <w:t xml:space="preserve">   On introduira dans le débat des problèmes qui en sont généralement tenus à l’écart, tel  celui du statut des étrangers dans la nation. Il ne s’agit pas d’abolir la différence entre nationaux et étrangers, mais de la faire passer d’une fonction de discrimination à une fonction de réciprocité et d’ouverture locale sur les solidarités et les conflits de l’espace global. Prise de notes en conférence</w:t>
      </w:r>
    </w:p>
    <w:p w:rsidR="00FB5BE5" w:rsidRPr="00573157" w:rsidRDefault="00FB5BE5" w:rsidP="00573157">
      <w:pPr>
        <w:jc w:val="both"/>
        <w:rPr>
          <w:rFonts w:ascii="Comic Sans MS" w:hAnsi="Comic Sans MS"/>
        </w:rPr>
      </w:pPr>
      <w:bookmarkStart w:id="0" w:name="_GoBack"/>
      <w:bookmarkEnd w:id="0"/>
    </w:p>
    <w:sectPr w:rsidR="00FB5BE5" w:rsidRPr="0057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59D"/>
    <w:multiLevelType w:val="hybridMultilevel"/>
    <w:tmpl w:val="6F00EDC6"/>
    <w:lvl w:ilvl="0" w:tplc="0540A55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A1FB7"/>
    <w:multiLevelType w:val="hybridMultilevel"/>
    <w:tmpl w:val="D1961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92111"/>
    <w:multiLevelType w:val="hybridMultilevel"/>
    <w:tmpl w:val="9034AB94"/>
    <w:lvl w:ilvl="0" w:tplc="0540A55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C57E1"/>
    <w:multiLevelType w:val="hybridMultilevel"/>
    <w:tmpl w:val="AFFE4664"/>
    <w:lvl w:ilvl="0" w:tplc="0540A55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57"/>
    <w:rsid w:val="00573157"/>
    <w:rsid w:val="00B97BB5"/>
    <w:rsid w:val="00FB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3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3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668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1</cp:revision>
  <dcterms:created xsi:type="dcterms:W3CDTF">2023-02-04T17:06:00Z</dcterms:created>
  <dcterms:modified xsi:type="dcterms:W3CDTF">2023-02-04T17:11:00Z</dcterms:modified>
</cp:coreProperties>
</file>